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09B630" w14:textId="13787652" w:rsidR="00AC13B2" w:rsidRDefault="00A17837" w:rsidP="00C41459">
      <w:pPr>
        <w:spacing w:line="360" w:lineRule="auto"/>
        <w:jc w:val="center"/>
        <w:rPr>
          <w:b/>
          <w:bCs/>
          <w:sz w:val="28"/>
          <w:szCs w:val="28"/>
        </w:rPr>
      </w:pPr>
      <w:bookmarkStart w:id="0" w:name="_Hlk83831651"/>
      <w:r w:rsidRPr="00C41459">
        <w:rPr>
          <w:b/>
          <w:bCs/>
          <w:sz w:val="28"/>
          <w:szCs w:val="28"/>
        </w:rPr>
        <w:t xml:space="preserve">Exercise therapy for </w:t>
      </w:r>
      <w:r w:rsidR="006C3964" w:rsidRPr="00C41459">
        <w:rPr>
          <w:b/>
          <w:bCs/>
          <w:sz w:val="28"/>
          <w:szCs w:val="28"/>
        </w:rPr>
        <w:t>tendinopathy</w:t>
      </w:r>
      <w:r w:rsidRPr="00C41459">
        <w:rPr>
          <w:b/>
          <w:bCs/>
          <w:sz w:val="28"/>
          <w:szCs w:val="28"/>
        </w:rPr>
        <w:t>: A scoping review</w:t>
      </w:r>
      <w:r w:rsidR="006C3964" w:rsidRPr="00C41459">
        <w:rPr>
          <w:b/>
          <w:bCs/>
          <w:sz w:val="28"/>
          <w:szCs w:val="28"/>
        </w:rPr>
        <w:t xml:space="preserve"> mapping interventions and outcomes</w:t>
      </w:r>
    </w:p>
    <w:bookmarkEnd w:id="0"/>
    <w:p w14:paraId="0F5FD1FA" w14:textId="77777777" w:rsidR="00C41459" w:rsidRPr="00C41459" w:rsidRDefault="00C41459" w:rsidP="00C41459">
      <w:pPr>
        <w:spacing w:line="360" w:lineRule="auto"/>
        <w:jc w:val="center"/>
        <w:rPr>
          <w:b/>
          <w:bCs/>
          <w:sz w:val="28"/>
          <w:szCs w:val="28"/>
        </w:rPr>
      </w:pPr>
    </w:p>
    <w:p w14:paraId="5FA4BC09" w14:textId="75E5EF9F" w:rsidR="00ED7E03" w:rsidRDefault="00A552DA" w:rsidP="00ED7E03">
      <w:pPr>
        <w:rPr>
          <w:b/>
        </w:rPr>
      </w:pPr>
      <w:r>
        <w:rPr>
          <w:b/>
        </w:rPr>
        <w:t>Authors:</w:t>
      </w:r>
    </w:p>
    <w:p w14:paraId="48D2337C" w14:textId="56E47FB9" w:rsidR="00A552DA" w:rsidRDefault="00A552DA" w:rsidP="00A552DA">
      <w:pPr>
        <w:rPr>
          <w:b/>
          <w:bCs/>
        </w:rPr>
      </w:pPr>
      <w:r w:rsidRPr="00A552DA">
        <w:rPr>
          <w:b/>
          <w:bCs/>
        </w:rPr>
        <w:t>Alexander, L.</w:t>
      </w:r>
      <w:r>
        <w:rPr>
          <w:b/>
          <w:bCs/>
        </w:rPr>
        <w:t>A.</w:t>
      </w:r>
      <w:r w:rsidRPr="00A552DA">
        <w:rPr>
          <w:b/>
          <w:bCs/>
          <w:vertAlign w:val="superscript"/>
        </w:rPr>
        <w:t>1</w:t>
      </w:r>
      <w:r w:rsidR="00C41459">
        <w:rPr>
          <w:b/>
          <w:bCs/>
          <w:vertAlign w:val="superscript"/>
        </w:rPr>
        <w:t>*</w:t>
      </w:r>
      <w:r w:rsidR="00C81DB7">
        <w:rPr>
          <w:b/>
          <w:bCs/>
        </w:rPr>
        <w:t xml:space="preserve"> </w:t>
      </w:r>
      <w:r>
        <w:rPr>
          <w:b/>
          <w:bCs/>
        </w:rPr>
        <w:t>Harris</w:t>
      </w:r>
      <w:r w:rsidR="000F74AF">
        <w:rPr>
          <w:b/>
          <w:bCs/>
        </w:rPr>
        <w:t>on</w:t>
      </w:r>
      <w:r>
        <w:rPr>
          <w:b/>
          <w:bCs/>
        </w:rPr>
        <w:t>, I.</w:t>
      </w:r>
      <w:r w:rsidRPr="00C41459">
        <w:rPr>
          <w:b/>
          <w:bCs/>
          <w:vertAlign w:val="superscript"/>
        </w:rPr>
        <w:t>1</w:t>
      </w:r>
      <w:r>
        <w:rPr>
          <w:b/>
          <w:bCs/>
        </w:rPr>
        <w:t xml:space="preserve"> </w:t>
      </w:r>
      <w:r w:rsidRPr="00A552DA">
        <w:rPr>
          <w:b/>
          <w:bCs/>
        </w:rPr>
        <w:t>Moss, R.A.</w:t>
      </w:r>
      <w:r w:rsidRPr="00C41459">
        <w:rPr>
          <w:b/>
          <w:bCs/>
          <w:vertAlign w:val="superscript"/>
        </w:rPr>
        <w:t xml:space="preserve">1 </w:t>
      </w:r>
      <w:r w:rsidRPr="00A552DA">
        <w:rPr>
          <w:b/>
          <w:bCs/>
        </w:rPr>
        <w:t>Greig, L.</w:t>
      </w:r>
      <w:r w:rsidRPr="00C41459">
        <w:rPr>
          <w:b/>
          <w:bCs/>
          <w:vertAlign w:val="superscript"/>
        </w:rPr>
        <w:t xml:space="preserve">1 </w:t>
      </w:r>
      <w:r w:rsidRPr="00A552DA">
        <w:rPr>
          <w:b/>
          <w:bCs/>
        </w:rPr>
        <w:t>Shim, J.</w:t>
      </w:r>
      <w:r w:rsidRPr="00C41459">
        <w:rPr>
          <w:b/>
          <w:bCs/>
          <w:vertAlign w:val="superscript"/>
        </w:rPr>
        <w:t xml:space="preserve">1 </w:t>
      </w:r>
      <w:r>
        <w:rPr>
          <w:b/>
          <w:bCs/>
        </w:rPr>
        <w:t>P</w:t>
      </w:r>
      <w:r w:rsidRPr="00A552DA">
        <w:rPr>
          <w:b/>
          <w:bCs/>
        </w:rPr>
        <w:t>avlova, A.V.</w:t>
      </w:r>
      <w:r w:rsidRPr="00C41459">
        <w:rPr>
          <w:b/>
          <w:bCs/>
          <w:vertAlign w:val="superscript"/>
        </w:rPr>
        <w:t>1</w:t>
      </w:r>
      <w:r w:rsidRPr="00A552DA">
        <w:rPr>
          <w:b/>
          <w:bCs/>
        </w:rPr>
        <w:t xml:space="preserve"> Parkinson</w:t>
      </w:r>
      <w:r>
        <w:rPr>
          <w:b/>
          <w:bCs/>
        </w:rPr>
        <w:t>,</w:t>
      </w:r>
      <w:r w:rsidRPr="00A552DA">
        <w:rPr>
          <w:b/>
          <w:bCs/>
        </w:rPr>
        <w:t xml:space="preserve"> E.</w:t>
      </w:r>
      <w:r w:rsidRPr="00C41459">
        <w:rPr>
          <w:b/>
          <w:bCs/>
          <w:vertAlign w:val="superscript"/>
        </w:rPr>
        <w:t>1</w:t>
      </w:r>
      <w:r w:rsidRPr="00A552DA">
        <w:rPr>
          <w:b/>
          <w:bCs/>
        </w:rPr>
        <w:t xml:space="preserve"> Maclean,</w:t>
      </w:r>
      <w:r>
        <w:rPr>
          <w:b/>
          <w:bCs/>
        </w:rPr>
        <w:t xml:space="preserve"> </w:t>
      </w:r>
      <w:r w:rsidRPr="00A552DA">
        <w:rPr>
          <w:b/>
          <w:bCs/>
        </w:rPr>
        <w:t>C.</w:t>
      </w:r>
      <w:r w:rsidRPr="00C41459">
        <w:rPr>
          <w:b/>
          <w:bCs/>
          <w:vertAlign w:val="superscript"/>
        </w:rPr>
        <w:t>2</w:t>
      </w:r>
      <w:r>
        <w:rPr>
          <w:b/>
          <w:bCs/>
        </w:rPr>
        <w:t xml:space="preserve"> </w:t>
      </w:r>
      <w:r w:rsidRPr="00A552DA">
        <w:rPr>
          <w:b/>
          <w:bCs/>
        </w:rPr>
        <w:t>Morrissey, D.</w:t>
      </w:r>
      <w:r w:rsidRPr="00C41459">
        <w:rPr>
          <w:b/>
          <w:bCs/>
          <w:vertAlign w:val="superscript"/>
        </w:rPr>
        <w:t>5</w:t>
      </w:r>
      <w:r w:rsidRPr="00A552DA">
        <w:rPr>
          <w:b/>
          <w:bCs/>
        </w:rPr>
        <w:t xml:space="preserve"> Swinton P.A.</w:t>
      </w:r>
      <w:r w:rsidRPr="00C41459">
        <w:rPr>
          <w:b/>
          <w:bCs/>
          <w:vertAlign w:val="superscript"/>
        </w:rPr>
        <w:t>1</w:t>
      </w:r>
      <w:r>
        <w:rPr>
          <w:b/>
          <w:bCs/>
        </w:rPr>
        <w:t xml:space="preserve"> </w:t>
      </w:r>
      <w:r w:rsidRPr="00A552DA">
        <w:rPr>
          <w:b/>
          <w:bCs/>
        </w:rPr>
        <w:t>Brandie, D.</w:t>
      </w:r>
      <w:r w:rsidRPr="00C41459">
        <w:rPr>
          <w:b/>
          <w:bCs/>
          <w:vertAlign w:val="superscript"/>
        </w:rPr>
        <w:t>3</w:t>
      </w:r>
      <w:r w:rsidRPr="00A552DA">
        <w:rPr>
          <w:b/>
          <w:bCs/>
        </w:rPr>
        <w:t xml:space="preserve"> Mitchell, </w:t>
      </w:r>
      <w:r w:rsidR="00C41459" w:rsidRPr="00A552DA">
        <w:rPr>
          <w:b/>
          <w:bCs/>
        </w:rPr>
        <w:t>L.</w:t>
      </w:r>
      <w:r w:rsidR="00C41459" w:rsidRPr="00C41459">
        <w:rPr>
          <w:b/>
          <w:bCs/>
          <w:vertAlign w:val="superscript"/>
        </w:rPr>
        <w:t>4</w:t>
      </w:r>
      <w:r w:rsidR="00C41459" w:rsidRPr="00A552DA">
        <w:rPr>
          <w:b/>
          <w:bCs/>
        </w:rPr>
        <w:t xml:space="preserve"> </w:t>
      </w:r>
      <w:r w:rsidRPr="00C41459">
        <w:rPr>
          <w:b/>
          <w:bCs/>
        </w:rPr>
        <w:t>Brown, V.T.</w:t>
      </w:r>
      <w:r w:rsidR="00C41459" w:rsidRPr="00C41459">
        <w:rPr>
          <w:b/>
          <w:bCs/>
          <w:vertAlign w:val="superscript"/>
        </w:rPr>
        <w:t>6</w:t>
      </w:r>
      <w:r w:rsidRPr="00C41459">
        <w:rPr>
          <w:b/>
          <w:bCs/>
        </w:rPr>
        <w:t xml:space="preserve"> Cooper, K</w:t>
      </w:r>
      <w:r w:rsidRPr="00A552DA">
        <w:rPr>
          <w:b/>
          <w:bCs/>
        </w:rPr>
        <w:t>.</w:t>
      </w:r>
      <w:r w:rsidRPr="00C41459">
        <w:rPr>
          <w:b/>
          <w:bCs/>
          <w:vertAlign w:val="superscript"/>
        </w:rPr>
        <w:t xml:space="preserve">1 </w:t>
      </w:r>
    </w:p>
    <w:p w14:paraId="4C25CA96" w14:textId="23544DC1" w:rsidR="00C41459" w:rsidRDefault="00C41459" w:rsidP="00ED7E03">
      <w:pPr>
        <w:rPr>
          <w:u w:val="single"/>
        </w:rPr>
      </w:pPr>
    </w:p>
    <w:p w14:paraId="5CB7B4A7" w14:textId="09CEC409" w:rsidR="00C41459" w:rsidRDefault="00C41459" w:rsidP="00C41459">
      <w:pPr>
        <w:pBdr>
          <w:top w:val="single" w:sz="4" w:space="1" w:color="auto"/>
          <w:left w:val="single" w:sz="4" w:space="4" w:color="auto"/>
          <w:bottom w:val="single" w:sz="4" w:space="1" w:color="auto"/>
          <w:right w:val="single" w:sz="4" w:space="4" w:color="auto"/>
        </w:pBdr>
        <w:jc w:val="center"/>
      </w:pPr>
      <w:proofErr w:type="spellStart"/>
      <w:r w:rsidRPr="00C41459">
        <w:t>SportR</w:t>
      </w:r>
      <w:proofErr w:type="spellEnd"/>
      <w:r w:rsidRPr="00C41459">
        <w:rPr>
          <w:rFonts w:ascii="Cambria Math" w:hAnsi="Cambria Math" w:cs="Cambria Math"/>
        </w:rPr>
        <w:t>𝜒</w:t>
      </w:r>
      <w:r w:rsidRPr="00C41459">
        <w:t>iv hosted preprint version 1</w:t>
      </w:r>
    </w:p>
    <w:p w14:paraId="382C9FCA" w14:textId="0D8CA583" w:rsidR="00C41459" w:rsidRDefault="007A34D3" w:rsidP="00C41459">
      <w:pPr>
        <w:pBdr>
          <w:top w:val="single" w:sz="4" w:space="1" w:color="auto"/>
          <w:left w:val="single" w:sz="4" w:space="4" w:color="auto"/>
          <w:bottom w:val="single" w:sz="4" w:space="1" w:color="auto"/>
          <w:right w:val="single" w:sz="4" w:space="4" w:color="auto"/>
        </w:pBdr>
        <w:jc w:val="center"/>
      </w:pPr>
      <w:r>
        <w:t>25/11</w:t>
      </w:r>
      <w:r w:rsidR="00C41459">
        <w:t>/2021</w:t>
      </w:r>
    </w:p>
    <w:p w14:paraId="7437B090" w14:textId="5C433D39" w:rsidR="00C41459" w:rsidRPr="00C41459" w:rsidRDefault="00C41459" w:rsidP="00C41459">
      <w:pPr>
        <w:pBdr>
          <w:top w:val="single" w:sz="4" w:space="1" w:color="auto"/>
          <w:left w:val="single" w:sz="4" w:space="4" w:color="auto"/>
          <w:bottom w:val="single" w:sz="4" w:space="1" w:color="auto"/>
          <w:right w:val="single" w:sz="4" w:space="4" w:color="auto"/>
        </w:pBdr>
        <w:jc w:val="center"/>
        <w:rPr>
          <w:b/>
          <w:bCs/>
          <w:color w:val="FF0000"/>
        </w:rPr>
      </w:pPr>
      <w:r w:rsidRPr="00C41459">
        <w:rPr>
          <w:b/>
          <w:bCs/>
          <w:color w:val="FF0000"/>
        </w:rPr>
        <w:t>PREPRINT - NOT PEER REVIEWED</w:t>
      </w:r>
    </w:p>
    <w:p w14:paraId="1A909724" w14:textId="77777777" w:rsidR="00C41459" w:rsidRPr="00C41459" w:rsidRDefault="00C41459" w:rsidP="00C41459">
      <w:pPr>
        <w:jc w:val="center"/>
      </w:pPr>
    </w:p>
    <w:p w14:paraId="30C4C3FA" w14:textId="49A70003" w:rsidR="00C41459" w:rsidRPr="00C41459" w:rsidRDefault="00C41459" w:rsidP="00C41459">
      <w:pPr>
        <w:rPr>
          <w:b/>
          <w:bCs/>
        </w:rPr>
      </w:pPr>
      <w:r w:rsidRPr="00C41459">
        <w:rPr>
          <w:b/>
          <w:bCs/>
        </w:rPr>
        <w:t>Institutions</w:t>
      </w:r>
      <w:r>
        <w:rPr>
          <w:b/>
          <w:bCs/>
        </w:rPr>
        <w:t>:</w:t>
      </w:r>
    </w:p>
    <w:p w14:paraId="079F1994" w14:textId="77777777" w:rsidR="00C41459" w:rsidRPr="00C41459" w:rsidRDefault="00C41459" w:rsidP="00C41459">
      <w:r w:rsidRPr="00C41459">
        <w:rPr>
          <w:vertAlign w:val="superscript"/>
        </w:rPr>
        <w:t xml:space="preserve">1 </w:t>
      </w:r>
      <w:r w:rsidRPr="00C41459">
        <w:t>School of Health Sciences, Robert Gordon University, Aberdeen, UK</w:t>
      </w:r>
    </w:p>
    <w:p w14:paraId="7DA4E860" w14:textId="77777777" w:rsidR="00C41459" w:rsidRPr="00C41459" w:rsidRDefault="00C41459" w:rsidP="00C41459">
      <w:r w:rsidRPr="00C41459">
        <w:rPr>
          <w:vertAlign w:val="superscript"/>
        </w:rPr>
        <w:t>2</w:t>
      </w:r>
      <w:r w:rsidRPr="00C41459">
        <w:t xml:space="preserve"> Library Services, Robert Gordon University, Aberdeen, UK</w:t>
      </w:r>
    </w:p>
    <w:p w14:paraId="3A73B21F" w14:textId="77777777" w:rsidR="00C41459" w:rsidRPr="00C41459" w:rsidRDefault="00C41459" w:rsidP="00C41459">
      <w:r w:rsidRPr="00C41459">
        <w:rPr>
          <w:vertAlign w:val="superscript"/>
        </w:rPr>
        <w:t>3</w:t>
      </w:r>
      <w:r w:rsidRPr="00C41459">
        <w:t xml:space="preserve"> Sport Scotland, Inverness, UK</w:t>
      </w:r>
    </w:p>
    <w:p w14:paraId="038523DC" w14:textId="77777777" w:rsidR="00C41459" w:rsidRPr="00C41459" w:rsidRDefault="00C41459" w:rsidP="00C41459">
      <w:r w:rsidRPr="00C41459">
        <w:rPr>
          <w:vertAlign w:val="superscript"/>
        </w:rPr>
        <w:t xml:space="preserve">4 </w:t>
      </w:r>
      <w:r w:rsidRPr="00C41459">
        <w:t>NHS Grampian, Aberdeen, UK</w:t>
      </w:r>
    </w:p>
    <w:p w14:paraId="6BDDFB8E" w14:textId="5AF95AB4" w:rsidR="00C41459" w:rsidRDefault="00C41459" w:rsidP="00ED7E03">
      <w:r w:rsidRPr="00C41459">
        <w:rPr>
          <w:vertAlign w:val="superscript"/>
        </w:rPr>
        <w:t>5</w:t>
      </w:r>
      <w:r w:rsidRPr="00C41459">
        <w:t xml:space="preserve"> Centre for Sports &amp; Exercise Medicine, Barts &amp; the London School of Medicine &amp; Dentistry, London, UK</w:t>
      </w:r>
    </w:p>
    <w:p w14:paraId="5EA82442" w14:textId="77777777" w:rsidR="00C41459" w:rsidRDefault="00C41459" w:rsidP="00C41459">
      <w:r>
        <w:rPr>
          <w:vertAlign w:val="superscript"/>
        </w:rPr>
        <w:t>6</w:t>
      </w:r>
      <w:r>
        <w:t xml:space="preserve"> Institute of Population Health Sciences, Queen Mary University of London and East London Health and Care Partnership, London, UK</w:t>
      </w:r>
    </w:p>
    <w:p w14:paraId="2B199916" w14:textId="7383D376" w:rsidR="00C41459" w:rsidRPr="00C41459" w:rsidRDefault="00C41459" w:rsidP="00ED7E03"/>
    <w:p w14:paraId="2DC15032" w14:textId="706849A4" w:rsidR="00C41459" w:rsidRPr="00C41459" w:rsidRDefault="00C41459" w:rsidP="00ED7E03">
      <w:pPr>
        <w:rPr>
          <w:b/>
          <w:bCs/>
        </w:rPr>
      </w:pPr>
      <w:r w:rsidRPr="00C41459">
        <w:rPr>
          <w:b/>
          <w:bCs/>
        </w:rPr>
        <w:t>Corresponding author:</w:t>
      </w:r>
    </w:p>
    <w:p w14:paraId="467400D9" w14:textId="2786A14D" w:rsidR="00C41459" w:rsidRDefault="00C41459" w:rsidP="00ED7E03">
      <w:r>
        <w:t xml:space="preserve">Dr </w:t>
      </w:r>
      <w:r w:rsidR="00ED7E03" w:rsidRPr="000D2B2E">
        <w:t>Lyndsay Alexander</w:t>
      </w:r>
    </w:p>
    <w:p w14:paraId="7C7EC8F4" w14:textId="77777777" w:rsidR="00C41459" w:rsidRDefault="00ED7E03" w:rsidP="00ED7E03">
      <w:r w:rsidRPr="000D2B2E">
        <w:t xml:space="preserve">School of Health Sciences, </w:t>
      </w:r>
    </w:p>
    <w:p w14:paraId="4C9C6632" w14:textId="77777777" w:rsidR="00C41459" w:rsidRDefault="00ED7E03" w:rsidP="00ED7E03">
      <w:proofErr w:type="spellStart"/>
      <w:r w:rsidRPr="000D2B2E">
        <w:t>Ishbel</w:t>
      </w:r>
      <w:proofErr w:type="spellEnd"/>
      <w:r w:rsidRPr="000D2B2E">
        <w:t xml:space="preserve"> Gordon Building, </w:t>
      </w:r>
    </w:p>
    <w:p w14:paraId="2F83DB90" w14:textId="77777777" w:rsidR="00C41459" w:rsidRDefault="00ED7E03" w:rsidP="00ED7E03">
      <w:r w:rsidRPr="000D2B2E">
        <w:t>Robert Gordon University,</w:t>
      </w:r>
    </w:p>
    <w:p w14:paraId="388F217B" w14:textId="77777777" w:rsidR="00C41459" w:rsidRDefault="00ED7E03" w:rsidP="00ED7E03">
      <w:proofErr w:type="spellStart"/>
      <w:r w:rsidRPr="000D2B2E">
        <w:t>Garthdee</w:t>
      </w:r>
      <w:proofErr w:type="spellEnd"/>
      <w:r w:rsidRPr="000D2B2E">
        <w:t xml:space="preserve"> Road, Aberdeen, </w:t>
      </w:r>
    </w:p>
    <w:p w14:paraId="070BBA0B" w14:textId="1B05620C" w:rsidR="00ED7E03" w:rsidRDefault="00ED7E03" w:rsidP="00ED7E03">
      <w:r w:rsidRPr="000D2B2E">
        <w:t>AB10 7QG, UK</w:t>
      </w:r>
    </w:p>
    <w:p w14:paraId="67ECF908" w14:textId="77777777" w:rsidR="00ED7E03" w:rsidRDefault="00ED7E03" w:rsidP="00ED7E03">
      <w:r>
        <w:t xml:space="preserve">Email: </w:t>
      </w:r>
      <w:hyperlink r:id="rId11" w:history="1">
        <w:r w:rsidRPr="004A4473">
          <w:rPr>
            <w:rStyle w:val="Hyperlink"/>
          </w:rPr>
          <w:t>l.a.alexander@rgu.ac.uk</w:t>
        </w:r>
      </w:hyperlink>
    </w:p>
    <w:p w14:paraId="091A9B39" w14:textId="09FEE18B" w:rsidR="00ED7E03" w:rsidRDefault="00ED7E03" w:rsidP="00ED7E03"/>
    <w:p w14:paraId="62DCE408" w14:textId="4A147C32" w:rsidR="00C41459" w:rsidRDefault="00C41459" w:rsidP="00C41459">
      <w:r w:rsidRPr="00C41459">
        <w:rPr>
          <w:i/>
          <w:iCs/>
        </w:rPr>
        <w:lastRenderedPageBreak/>
        <w:t>Please cite as</w:t>
      </w:r>
      <w:r w:rsidRPr="00C41459">
        <w:t xml:space="preserve">: </w:t>
      </w:r>
      <w:r w:rsidRPr="00C81DB7">
        <w:t>Alexander, L.A., Harris</w:t>
      </w:r>
      <w:r w:rsidR="000F74AF">
        <w:t>on</w:t>
      </w:r>
      <w:r w:rsidRPr="00C81DB7">
        <w:t>, I.</w:t>
      </w:r>
      <w:r w:rsidR="00C81DB7" w:rsidRPr="00C81DB7">
        <w:rPr>
          <w:vertAlign w:val="superscript"/>
        </w:rPr>
        <w:t xml:space="preserve">, </w:t>
      </w:r>
      <w:r w:rsidRPr="00C81DB7">
        <w:t>Moss, R.A.</w:t>
      </w:r>
      <w:r w:rsidR="00C81DB7" w:rsidRPr="00C81DB7">
        <w:t>,</w:t>
      </w:r>
      <w:r w:rsidRPr="00C81DB7">
        <w:rPr>
          <w:vertAlign w:val="superscript"/>
        </w:rPr>
        <w:t xml:space="preserve"> </w:t>
      </w:r>
      <w:r w:rsidRPr="00C81DB7">
        <w:t>Greig, L.</w:t>
      </w:r>
      <w:r w:rsidR="00C81DB7" w:rsidRPr="00C81DB7">
        <w:t>,</w:t>
      </w:r>
      <w:r w:rsidRPr="00C81DB7">
        <w:rPr>
          <w:vertAlign w:val="superscript"/>
        </w:rPr>
        <w:t xml:space="preserve"> </w:t>
      </w:r>
      <w:r w:rsidRPr="00C81DB7">
        <w:t>Shim, J.</w:t>
      </w:r>
      <w:r w:rsidR="00C81DB7" w:rsidRPr="00C81DB7">
        <w:t>,</w:t>
      </w:r>
      <w:r w:rsidRPr="00C81DB7">
        <w:rPr>
          <w:vertAlign w:val="superscript"/>
        </w:rPr>
        <w:t xml:space="preserve"> </w:t>
      </w:r>
      <w:r w:rsidRPr="00C81DB7">
        <w:t>Pavlova, A.V.</w:t>
      </w:r>
      <w:r w:rsidR="00C81DB7" w:rsidRPr="00C81DB7">
        <w:t>,</w:t>
      </w:r>
      <w:r w:rsidRPr="00C81DB7">
        <w:t xml:space="preserve"> Parkinson, E.</w:t>
      </w:r>
      <w:r w:rsidR="00C81DB7" w:rsidRPr="00C81DB7">
        <w:t>,</w:t>
      </w:r>
      <w:r w:rsidRPr="00C81DB7">
        <w:t xml:space="preserve"> Maclean, C.</w:t>
      </w:r>
      <w:r w:rsidR="00C81DB7" w:rsidRPr="00C81DB7">
        <w:t>,</w:t>
      </w:r>
      <w:r w:rsidRPr="00C81DB7">
        <w:t xml:space="preserve"> Morrissey, D.</w:t>
      </w:r>
      <w:r w:rsidR="00C81DB7" w:rsidRPr="00C81DB7">
        <w:t>,</w:t>
      </w:r>
      <w:r w:rsidRPr="00C81DB7">
        <w:t xml:space="preserve"> Swinton P.A.</w:t>
      </w:r>
      <w:r w:rsidR="00C81DB7" w:rsidRPr="00C81DB7">
        <w:t>,</w:t>
      </w:r>
      <w:r w:rsidRPr="00C81DB7">
        <w:t xml:space="preserve"> Brandie, D.</w:t>
      </w:r>
      <w:r w:rsidR="00C81DB7" w:rsidRPr="00C81DB7">
        <w:t>,</w:t>
      </w:r>
      <w:r w:rsidRPr="00C81DB7">
        <w:t xml:space="preserve"> Mitchell, L.</w:t>
      </w:r>
      <w:r w:rsidR="00C81DB7" w:rsidRPr="00C81DB7">
        <w:t>,</w:t>
      </w:r>
      <w:r w:rsidRPr="00C81DB7">
        <w:t xml:space="preserve"> Brown, V.T.</w:t>
      </w:r>
      <w:r w:rsidR="00C81DB7" w:rsidRPr="00C81DB7">
        <w:t xml:space="preserve"> &amp; </w:t>
      </w:r>
      <w:r w:rsidRPr="00C81DB7">
        <w:t>Cooper, K. (</w:t>
      </w:r>
      <w:r w:rsidR="00C81DB7" w:rsidRPr="00C81DB7">
        <w:t xml:space="preserve">2021). </w:t>
      </w:r>
      <w:r w:rsidR="00C81DB7" w:rsidRPr="00C81DB7">
        <w:rPr>
          <w:b/>
          <w:bCs/>
        </w:rPr>
        <w:t>Exercise therapy for tendinopathy: A scoping review mapping interventions and outcomes.</w:t>
      </w:r>
      <w:r w:rsidR="00C81DB7" w:rsidRPr="00C81DB7">
        <w:t xml:space="preserve"> </w:t>
      </w:r>
      <w:proofErr w:type="spellStart"/>
      <w:r w:rsidR="00C81DB7" w:rsidRPr="00C81DB7">
        <w:rPr>
          <w:i/>
          <w:iCs/>
        </w:rPr>
        <w:t>SportRχiv</w:t>
      </w:r>
      <w:proofErr w:type="spellEnd"/>
      <w:r w:rsidR="00C81DB7" w:rsidRPr="00C81DB7">
        <w:t>.</w:t>
      </w:r>
    </w:p>
    <w:p w14:paraId="0D4D2E68" w14:textId="77777777" w:rsidR="00C81DB7" w:rsidRPr="00C81DB7" w:rsidRDefault="00C81DB7" w:rsidP="00C41459"/>
    <w:p w14:paraId="73665B75" w14:textId="4F24F041" w:rsidR="00C41459" w:rsidRDefault="00C41459" w:rsidP="00C81DB7">
      <w:pPr>
        <w:pStyle w:val="Heading2"/>
      </w:pPr>
      <w:r>
        <w:t>Funding</w:t>
      </w:r>
    </w:p>
    <w:p w14:paraId="426A62B5" w14:textId="20A8E250" w:rsidR="00493739" w:rsidRDefault="00C41459" w:rsidP="00ED7E03">
      <w:pPr>
        <w:spacing w:line="360" w:lineRule="auto"/>
      </w:pPr>
      <w:r w:rsidRPr="0011344A">
        <w:t>This project is funded by the National Institute for Health Research (NIHR) [Health Technology Assessment (HTA) 129388 Exercise therapy for the treatment of tendinopathies]. The views expressed are those of the authors and not necessarily those of the NIHR or the Department of Health and Social Care.</w:t>
      </w:r>
    </w:p>
    <w:p w14:paraId="7201310D" w14:textId="77777777" w:rsidR="00C41459" w:rsidRDefault="00C41459" w:rsidP="00C41459">
      <w:pPr>
        <w:pStyle w:val="Heading2"/>
        <w:keepNext/>
      </w:pPr>
      <w:r>
        <w:t>Conflicts of Interest</w:t>
      </w:r>
    </w:p>
    <w:p w14:paraId="32C3ABFF" w14:textId="77777777" w:rsidR="00C41459" w:rsidRDefault="00C41459" w:rsidP="00C41459">
      <w:pPr>
        <w:keepNext/>
        <w:spacing w:line="360" w:lineRule="auto"/>
      </w:pPr>
      <w:r w:rsidRPr="00952129">
        <w:rPr>
          <w:iCs/>
        </w:rPr>
        <w:t>The authors declare no conflict of interest</w:t>
      </w:r>
      <w:r w:rsidRPr="00952129">
        <w:t>.</w:t>
      </w:r>
    </w:p>
    <w:p w14:paraId="09B4CF2B" w14:textId="77777777" w:rsidR="00C81DB7" w:rsidRDefault="00C81DB7" w:rsidP="0073257F">
      <w:pPr>
        <w:pStyle w:val="Heading1"/>
        <w:numPr>
          <w:ilvl w:val="0"/>
          <w:numId w:val="0"/>
        </w:numPr>
        <w:ind w:left="360" w:hanging="360"/>
        <w:rPr>
          <w:rStyle w:val="Heading1Char"/>
          <w:b/>
          <w:bCs/>
          <w:caps/>
        </w:rPr>
        <w:sectPr w:rsidR="00C81DB7" w:rsidSect="00A552DA">
          <w:footerReference w:type="default" r:id="rId12"/>
          <w:pgSz w:w="11906" w:h="16838"/>
          <w:pgMar w:top="1440" w:right="1440" w:bottom="1440" w:left="1440" w:header="708" w:footer="708" w:gutter="0"/>
          <w:cols w:space="708"/>
          <w:docGrid w:linePitch="360"/>
        </w:sectPr>
      </w:pPr>
    </w:p>
    <w:p w14:paraId="528B3217" w14:textId="180B6F2D" w:rsidR="00A17837" w:rsidRPr="00A17837" w:rsidRDefault="00A17837" w:rsidP="0073257F">
      <w:pPr>
        <w:pStyle w:val="Heading1"/>
        <w:numPr>
          <w:ilvl w:val="0"/>
          <w:numId w:val="0"/>
        </w:numPr>
        <w:ind w:left="360" w:hanging="360"/>
      </w:pPr>
      <w:r w:rsidRPr="00593425">
        <w:rPr>
          <w:rStyle w:val="Heading1Char"/>
          <w:b/>
          <w:bCs/>
          <w:caps/>
        </w:rPr>
        <w:lastRenderedPageBreak/>
        <w:t>Abstract</w:t>
      </w:r>
    </w:p>
    <w:p w14:paraId="703AC780" w14:textId="77777777" w:rsidR="006D379C" w:rsidRDefault="006D379C" w:rsidP="0073257F">
      <w:pPr>
        <w:spacing w:line="360" w:lineRule="auto"/>
      </w:pPr>
      <w:r>
        <w:rPr>
          <w:b/>
        </w:rPr>
        <w:t>Objective</w:t>
      </w:r>
      <w:r>
        <w:t xml:space="preserve"> </w:t>
      </w:r>
    </w:p>
    <w:p w14:paraId="1A045F7B" w14:textId="77777777" w:rsidR="006D379C" w:rsidRPr="00C81B12" w:rsidRDefault="006D379C" w:rsidP="0073257F">
      <w:pPr>
        <w:spacing w:line="360" w:lineRule="auto"/>
      </w:pPr>
      <w:r>
        <w:t xml:space="preserve">To comprehensively map exercise interventions and outcomes across all tendinopathies. </w:t>
      </w:r>
    </w:p>
    <w:p w14:paraId="34CFAD67" w14:textId="77777777" w:rsidR="006D379C" w:rsidRDefault="006D379C" w:rsidP="0073257F">
      <w:pPr>
        <w:spacing w:line="360" w:lineRule="auto"/>
      </w:pPr>
      <w:r w:rsidRPr="3A2C7051">
        <w:rPr>
          <w:b/>
          <w:bCs/>
        </w:rPr>
        <w:t>Methods</w:t>
      </w:r>
      <w:r>
        <w:t xml:space="preserve"> </w:t>
      </w:r>
    </w:p>
    <w:p w14:paraId="1E3C1958" w14:textId="7DE18447" w:rsidR="006D379C" w:rsidRDefault="006D379C" w:rsidP="0073257F">
      <w:pPr>
        <w:spacing w:line="360" w:lineRule="auto"/>
      </w:pPr>
      <w:r>
        <w:t>Design: Scoping review</w:t>
      </w:r>
      <w:r w:rsidR="0073257F">
        <w:t>.</w:t>
      </w:r>
      <w:r>
        <w:t xml:space="preserve"> </w:t>
      </w:r>
    </w:p>
    <w:p w14:paraId="02A4FF0B" w14:textId="77777777" w:rsidR="006D379C" w:rsidRDefault="006D379C" w:rsidP="0073257F">
      <w:pPr>
        <w:spacing w:line="360" w:lineRule="auto"/>
      </w:pPr>
      <w:r>
        <w:t xml:space="preserve">Eligibility criteria (PCC): </w:t>
      </w:r>
      <w:r w:rsidRPr="003B3C3C">
        <w:rPr>
          <w:i/>
          <w:iCs/>
        </w:rPr>
        <w:t>Participants</w:t>
      </w:r>
      <w:r>
        <w:t xml:space="preserve">: any age or gender with any tendinopathy; </w:t>
      </w:r>
      <w:r w:rsidRPr="003B3C3C">
        <w:rPr>
          <w:i/>
          <w:iCs/>
        </w:rPr>
        <w:t>Concept</w:t>
      </w:r>
      <w:r>
        <w:t xml:space="preserve">: supervised or unsupervised exercise of any type or format, delivered by any professional and any outcome used to evaluate any exercise intervention; </w:t>
      </w:r>
      <w:r w:rsidRPr="003B3C3C">
        <w:rPr>
          <w:i/>
          <w:iCs/>
        </w:rPr>
        <w:t>Context</w:t>
      </w:r>
      <w:r>
        <w:t>: any setting in any country listed as very high on the human development index.</w:t>
      </w:r>
    </w:p>
    <w:p w14:paraId="0ED8F3B5" w14:textId="77777777" w:rsidR="006D379C" w:rsidRDefault="006D379C" w:rsidP="0073257F">
      <w:pPr>
        <w:spacing w:line="360" w:lineRule="auto"/>
      </w:pPr>
      <w:r>
        <w:t xml:space="preserve">Data sources: nine databases, four trial registries and six grey literature sources. At least two reviewers independently conducted title, abstract and full text screening. Data extraction was conducted using a bespoke tool developed for this review, informed by the </w:t>
      </w:r>
      <w:proofErr w:type="spellStart"/>
      <w:r>
        <w:t>TIDieR</w:t>
      </w:r>
      <w:proofErr w:type="spellEnd"/>
      <w:r>
        <w:t xml:space="preserve"> checklist and ICON health-related domains, to interpret exercise reporting and outcomes across included studies.</w:t>
      </w:r>
    </w:p>
    <w:p w14:paraId="340A2EC3" w14:textId="77777777" w:rsidR="006D379C" w:rsidRDefault="006D379C" w:rsidP="0073257F">
      <w:pPr>
        <w:spacing w:line="360" w:lineRule="auto"/>
      </w:pPr>
      <w:r w:rsidRPr="00A23CBE">
        <w:rPr>
          <w:b/>
        </w:rPr>
        <w:t xml:space="preserve">Results </w:t>
      </w:r>
    </w:p>
    <w:p w14:paraId="05B0CEAD" w14:textId="23F86AF9" w:rsidR="006D379C" w:rsidRDefault="006D379C" w:rsidP="0073257F">
      <w:pPr>
        <w:spacing w:line="360" w:lineRule="auto"/>
      </w:pPr>
      <w:r>
        <w:t xml:space="preserve">Extracted data from 555 included studies from 31 countries incorporated 25,490 participants with mean study ages ranging from 15-65 years. A range of exercise interventions including strengthening, flexibility, aerobic, proprioceptive, and motor control were </w:t>
      </w:r>
      <w:r w:rsidR="00C91BC8">
        <w:t>identified</w:t>
      </w:r>
      <w:r>
        <w:t xml:space="preserve">; showing rotator cuff-related shoulder pain, Achilles, patellar and lateral elbow tendinopathies were most studied. A range of health-related domains were measured by numerous outcome tools, with little consistency within domains or tendinopathies. Reporting of participant characteristics, interventions and adherence was highly variable. </w:t>
      </w:r>
    </w:p>
    <w:p w14:paraId="6AF58289" w14:textId="77777777" w:rsidR="006D379C" w:rsidRDefault="006D379C" w:rsidP="0073257F">
      <w:pPr>
        <w:spacing w:line="360" w:lineRule="auto"/>
      </w:pPr>
      <w:r w:rsidRPr="226EABCF">
        <w:rPr>
          <w:b/>
          <w:bCs/>
        </w:rPr>
        <w:t>Conclusion</w:t>
      </w:r>
      <w:r>
        <w:t xml:space="preserve"> </w:t>
      </w:r>
    </w:p>
    <w:p w14:paraId="679DAABE" w14:textId="4838E5A5" w:rsidR="006D379C" w:rsidRDefault="006D379C" w:rsidP="0073257F">
      <w:pPr>
        <w:spacing w:line="360" w:lineRule="auto"/>
      </w:pPr>
      <w:r>
        <w:t xml:space="preserve">This first comprehensive map of exercise and outcomes for tendinopathy has identified four recommendations </w:t>
      </w:r>
      <w:r w:rsidR="00C91BC8" w:rsidRPr="00C91BC8">
        <w:t>to be considered for future tendinopathy research: 1) Specific robust high quality research study designs; (2) Comprehensive research reporting; 3) Patient/practitioner lived experience; and 4) comprehensive high quality evidence synthesis.</w:t>
      </w:r>
    </w:p>
    <w:p w14:paraId="31E8FAA1" w14:textId="6860277A" w:rsidR="00A17837" w:rsidRDefault="00A17837" w:rsidP="0073257F">
      <w:pPr>
        <w:spacing w:line="360" w:lineRule="auto"/>
      </w:pPr>
      <w:r w:rsidRPr="008606D2">
        <w:rPr>
          <w:b/>
          <w:bCs/>
        </w:rPr>
        <w:t>Key words –</w:t>
      </w:r>
      <w:r>
        <w:t xml:space="preserve"> </w:t>
      </w:r>
      <w:r w:rsidR="00DE0A07">
        <w:t xml:space="preserve">tendinopathy, exercise, </w:t>
      </w:r>
      <w:r w:rsidR="21EDDE49">
        <w:t xml:space="preserve">physiotherapy, </w:t>
      </w:r>
      <w:r w:rsidR="17D32545">
        <w:t>outcome</w:t>
      </w:r>
      <w:r w:rsidR="07262EE4">
        <w:t xml:space="preserve"> assessment</w:t>
      </w:r>
      <w:r w:rsidR="17D32545">
        <w:t xml:space="preserve">, </w:t>
      </w:r>
      <w:r w:rsidR="00DE0A07">
        <w:t>scoping review</w:t>
      </w:r>
    </w:p>
    <w:p w14:paraId="5474F274" w14:textId="77777777" w:rsidR="00C81DB7" w:rsidRDefault="00C81DB7" w:rsidP="0073257F">
      <w:pPr>
        <w:pStyle w:val="Heading1"/>
        <w:rPr>
          <w:caps w:val="0"/>
        </w:rPr>
        <w:sectPr w:rsidR="00C81DB7" w:rsidSect="00A552DA">
          <w:pgSz w:w="11906" w:h="16838"/>
          <w:pgMar w:top="1440" w:right="1440" w:bottom="1440" w:left="1440" w:header="708" w:footer="708" w:gutter="0"/>
          <w:cols w:space="708"/>
          <w:docGrid w:linePitch="360"/>
        </w:sectPr>
      </w:pPr>
    </w:p>
    <w:p w14:paraId="3E7A9F1C" w14:textId="787C5279" w:rsidR="00A17837" w:rsidRPr="00207DB9" w:rsidRDefault="00207DB9" w:rsidP="0073257F">
      <w:pPr>
        <w:pStyle w:val="Heading1"/>
        <w:rPr>
          <w:caps w:val="0"/>
        </w:rPr>
      </w:pPr>
      <w:r>
        <w:rPr>
          <w:caps w:val="0"/>
        </w:rPr>
        <w:lastRenderedPageBreak/>
        <w:t>INTRODUCTION</w:t>
      </w:r>
    </w:p>
    <w:p w14:paraId="28F3D19F" w14:textId="77777777" w:rsidR="009E1E2B" w:rsidRDefault="009E1E2B" w:rsidP="0073257F">
      <w:pPr>
        <w:spacing w:line="360" w:lineRule="auto"/>
      </w:pPr>
      <w:r>
        <w:t xml:space="preserve">Tendinopathy is a musculoskeletal condition frequently experienced by athletic, active and sedentary adult populations, characterised by discomfort, reduced function and disability </w:t>
      </w:r>
      <w:r>
        <w:fldChar w:fldCharType="begin"/>
      </w:r>
      <w:r>
        <w:instrText xml:space="preserve"> ADDIN ZOTERO_ITEM CSL_CITATION {"citationID":"he8lmpCn","properties":{"formattedCitation":"[1]","plainCitation":"[1]","noteIndex":0},"citationItems":[{"id":1,"uris":["http://zotero.org/users/local/ehxbAYSD/items/3UI45VYR"],"uri":["http://zotero.org/users/local/ehxbAYSD/items/3UI45VYR"],"itemData":{"id":1,"type":"article-journal","abstract":"Abstract\n            \n              Objectives\n              To describe the experiences (including symptoms and perceived impacts on daily living) of people with a shoulder disorder.\n            \n            \n              Methods\n              Systematic review of qualitative studies. We searched for eligible qualitative studies indexed in Ovid MEDLINE, Ovid Embase, CINAHL (EBSCO), SportDiscus (EBSCO) and Ovid PsycINFO up until November 2017. Two authors independently screened studies for inclusion, appraised their methodological quality using the Critical Appraisal Skills Programme checklist, used thematic synthesis methods to generate themes describing the experiences reported by participants and assessed the confidence in the findings using the Grading of Recommendations Assessment, Development and Evaluation Confidence in Evidence from Reviews of Qualitative research (GRADE-CERQual) approach.\n            \n            \n              Results\n              The inclusion criteria were met by eight studies, which included 133 participants (49 females and 84 males) with either rotator cuff disease, adhesive capsulitis, proximal humeral fracture, shoulder instability or unspecified shoulder pain. We generated seven themes to describe what people in the included studies reported experiencing: pain; physical function/activity limitations; participation restriction; sleep disruption; cognitive dysfunction; emotional distress; and other pathophysiological manifestations (other than pain). There were interactions between the themes, with particular experiences impacting on others (e.g. pain leading to reduced activities and sleep disruption). Following grading of the evidence, we considered it likely that most of the review findings were a reasonable representation of the experiences of people with shoulder disorders.\n            \n            \n              Conclusion\n              Patients with shoulder disorders contend with considerable disruption to their life. The experiences described should be considered by researchers seeking to select the most appropriate outcomes to measure in clinical trials and other research studies in people with shoulder disorders.","container-title":"Rheumatology","DOI":"10.1093/rheumatology/kez046","ISSN":"1462-0324, 1462-0332","issue":"8","language":"en","page":"1410-1421","source":"DOI.org (Crossref)","title":"Patients’ experience of shoulder disorders: a systematic review of qualitative studies for the OMERACT Shoulder Core Domain Set","title-short":"Patients’ experience of shoulder disorders","volume":"58","author":[{"family":"Page","given":"Matthew J"},{"family":"O’Connor","given":"Denise A"},{"family":"Malek","given":"Mary"},{"family":"Haas","given":"Romi"},{"family":"Beaton","given":"Dorcas"},{"family":"Huang","given":"Hsiaomin"},{"family":"Ramiro","given":"Sofia"},{"family":"Richards","given":"Pamela"},{"family":"Voshaar","given":"Marieke J H"},{"family":"Shea","given":"Beverley"},{"family":"Verhagen","given":"Arianne P"},{"family":"Whittle","given":"Samuel L"},{"family":"Windt","given":"Danielle A","non-dropping-particle":"van der"},{"family":"Gagnier","given":"Joel J"},{"family":"Buchbinder","given":"Rachelle"},{"literal":"OMERACT Shoulder Core Set Working Group"}],"issued":{"date-parts":[["2019",8,1]]}}}],"schema":"https://github.com/citation-style-language/schema/raw/master/csl-citation.json"} </w:instrText>
      </w:r>
      <w:r>
        <w:fldChar w:fldCharType="separate"/>
      </w:r>
      <w:r w:rsidRPr="0040195A">
        <w:rPr>
          <w:rFonts w:ascii="Calibri" w:hAnsi="Calibri" w:cs="Calibri"/>
        </w:rPr>
        <w:t>[1]</w:t>
      </w:r>
      <w:r>
        <w:fldChar w:fldCharType="end"/>
      </w:r>
      <w:r>
        <w:t xml:space="preserve">. Management of tendinopathy includes a range of interventions, with exercise the most common </w:t>
      </w:r>
      <w:r>
        <w:fldChar w:fldCharType="begin"/>
      </w:r>
      <w:r>
        <w:instrText xml:space="preserve"> ADDIN ZOTERO_ITEM CSL_CITATION {"citationID":"Y1n6I81Z","properties":{"formattedCitation":"[2,3]","plainCitation":"[2,3]","noteIndex":0},"citationItems":[{"id":3,"uris":["http://zotero.org/users/local/ehxbAYSD/items/QR28MJBW"],"uri":["http://zotero.org/users/local/ehxbAYSD/items/QR28MJBW"],"itemData":{"id":3,"type":"article-journal","container-title":"Sports Medicine","DOI":"10.1007/s40279-018-0932-2","ISSN":"0112-1642, 1179-2035","issue":"8","journalAbbreviation":"Sports Med","language":"en","page":"1875-1891","source":"DOI.org (Crossref)","title":"Rate of Improvement of Pain and Function in Mid-Portion Achilles Tendinopathy with Loading Protocols: A Systematic Review and Longitudinal Meta-Analysis","title-short":"Rate of Improvement of Pain and Function in Mid-Portion Achilles Tendinopathy with Loading Protocols","volume":"48","author":[{"family":"Murphy","given":"Myles"},{"family":"Travers","given":"Mervyn"},{"family":"Gibson","given":"William"},{"family":"Chivers","given":"Paola"},{"family":"Debenham","given":"James"},{"family":"Docking","given":"Sean"},{"family":"Rio","given":"Ebonie"}],"issued":{"date-parts":[["2018",8]]}}},{"id":45,"uris":["http://zotero.org/users/local/ehxbAYSD/items/7BAK56AH"],"uri":["http://zotero.org/users/local/ehxbAYSD/items/7BAK56AH"],"itemData":{"id":45,"type":"article-journal","container-title":"Musculoskeletal Science and Practice","DOI":"10.1016/j.msksp.2021.102322","ISSN":"24687812","journalAbbreviation":"Musculoskeletal Science and Practice","language":"en","page":"102322","source":"DOI.org (Crossref)","title":"Less than half of patients in secondary care adheres to clinical guidelines for subacromial pain syndrome and have acceptable symptoms after treatment: A Danish nationwide cohort study of 3306 patients","title-short":"Less than half of patients in secondary care adheres to clinical guidelines for subacromial pain syndrome and have acceptable symptoms after treatment","volume":"52","author":[{"family":"Clausen","given":"Mikkel Bek"},{"family":"Merrild","given":"Mikas Bjørn"},{"family":"Holm","given":"Kika"},{"family":"Pedersen","given":"Mads Welling"},{"family":"Andersen","given":"Lars Louis"},{"family":"Zebis","given":"Mette Kreutzfeldt"},{"family":"Jakobsen","given":"Thomas Linding"},{"family":"Thorborg","given":"Kristian"}],"issued":{"date-parts":[["2021",4]]}}}],"schema":"https://github.com/citation-style-language/schema/raw/master/csl-citation.json"} </w:instrText>
      </w:r>
      <w:r>
        <w:fldChar w:fldCharType="separate"/>
      </w:r>
      <w:r w:rsidRPr="0040195A">
        <w:rPr>
          <w:rFonts w:ascii="Calibri" w:hAnsi="Calibri" w:cs="Calibri"/>
        </w:rPr>
        <w:t>[2,3]</w:t>
      </w:r>
      <w:r>
        <w:fldChar w:fldCharType="end"/>
      </w:r>
      <w:r>
        <w:t xml:space="preserve">. Exercise for tendinopathy can involve one or more of strength (e.g., eccentric, concentric, isometric, heavy slow resistance); flexibility (e.g., stretching, range of motion); proprioception or motor control exercises. However, the effectiveness of specific types as stand-alone treatments, in combination with each other, or with other interventions, is not fully established. Further work is required to determine the short and long-term effects of exercise types across upper and lower-limb tendinopathies </w:t>
      </w:r>
      <w:r>
        <w:fldChar w:fldCharType="begin"/>
      </w:r>
      <w:r>
        <w:instrText xml:space="preserve"> ADDIN ZOTERO_ITEM CSL_CITATION {"citationID":"CGeErkLC","properties":{"formattedCitation":"[4\\uc0\\u8211{}8]","plainCitation":"[4–8]","noteIndex":0},"citationItems":[{"id":4,"uris":["http://zotero.org/users/local/ehxbAYSD/items/THW6F526"],"uri":["http://zotero.org/users/local/ehxbAYSD/items/THW6F526"],"itemData":{"id":4,"type":"article-journal","abstract":"Objective\n              To evaluate the effectiveness of exercise compared with other conservative interventions in the management of lateral elbow tendinopathy (LET) on pain and function.\n            \n            \n              Design\n              Systematic review and meta-analysis.\n            \n            \n              Methods\n              We used the Cochrane risk-of-bias tool 2 for randomised controlled trials (RCTs) to assess risk of bias and the Grading of Recommendations Assessment, Development and Evaluation methodology to grade the certainty of evidence. Self-perceived improvement, pain intensity, pain-free grip strength (PFGS) and elbow disability were used as primary outcome measures.\n            \n            \n              Eligibility criteria\n              RCTs assessing the effectiveness of exercise alone or as an additive intervention compared with passive interventions, wait-and-see or injections in patients with LET.\n            \n            \n              Results\n              30 RCTs (2123 participants, 5 comparator interventions) were identified. Exercise outperformed (low certainty) corticosteroid injections in all outcomes at all time points except short-term pain reduction. Clinically significant differences were found in PFGS at short-term (mean difference (MD): 12.15, (95% CI) 1.69 to 22.6), mid-term (MD: 22.45, 95% CI 3.63 to 41.3) and long-term follow-up (MD: 18, 95% CI 11.17 to 24.84). Statistically significant differences (very low certainty) for exercise compared with wait-and-see were found only in self-perceived improvement at short-term, pain reduction and elbow disability at short-term and long-term follow-up. Substantial heterogeneity in descriptions of equipment, load, duration and frequency of exercise programmes were evident.\n            \n            \n              Conclusions\n              Low and very low certainty evidence suggests exercise is effective compared with passive interventions with or without invasive treatment in LET, but the effect is small.\n            \n            \n              PROSPERO registration number\n              CRD42018082703.","container-title":"British Journal of Sports Medicine","DOI":"10.1136/bjsports-2020-102525","ISSN":"0306-3674, 1473-0480","issue":"9","journalAbbreviation":"Br J Sports Med","language":"en","page":"477-485","source":"DOI.org (Crossref)","title":"Exercise interventions in lateral elbow tendinopathy have better outcomes than passive interventions, but the effects are small: a systematic review and meta-analysis of 2123 subjects in 30 trials","title-short":"Exercise interventions in lateral elbow tendinopathy have better outcomes than passive interventions, but the effects are small","volume":"55","author":[{"family":"Karanasios","given":"Stefanos"},{"family":"Korakakis","given":"Vasileios"},{"family":"Whiteley","given":"Rod"},{"family":"Vasilogeorgis","given":"Ioannis"},{"family":"Woodbridge","given":"Sarah"},{"family":"Gioftsos","given":"Georgios"}],"issued":{"date-parts":[["2021",5]]}}},{"id":5,"uris":["http://zotero.org/users/local/ehxbAYSD/items/Z7RZZY9D"],"uri":["http://zotero.org/users/local/ehxbAYSD/items/Z7RZZY9D"],"itemData":{"id":5,"type":"article-journal","container-title":"Nature Reviews Disease Primers","DOI":"10.1038/s41572-020-00234-1","ISSN":"2056-676X","issue":"1","journalAbbreviation":"Nat Rev Dis Primers","language":"en","page":"1","source":"DOI.org (Crossref)","title":"Tendinopathy","volume":"7","author":[{"family":"Millar","given":"Neal L."},{"family":"Silbernagel","given":"Karin G."},{"family":"Thorborg","given":"Kristian"},{"family":"Kirwan","given":"Paul D."},{"family":"Galatz","given":"Leesa M."},{"family":"Abrams","given":"Geoffrey D."},{"family":"Murrell","given":"George A. C."},{"family":"McInnes","given":"Iain B."},{"family":"Rodeo","given":"Scott A."}],"issued":{"date-parts":[["2021",12]]}}},{"id":6,"uris":["http://zotero.org/users/local/ehxbAYSD/items/85ELIVTP"],"uri":["http://zotero.org/users/local/ehxbAYSD/items/85ELIVTP"],"itemData":{"id":6,"type":"article-journal","abstract":"Background: Proximal hamstring tendinopathy affects athletic and non-athletic populations and is associated with longstanding buttock pain. The condition is common in track and field, long distance running and field-based sports. Management options need to be evaluated to direct appropriate clinical management.\nPurpose/Hypothesis: To evaluate surgical and non-surgical interventions used in managing proximal hamstring tendinopathy.\nStudy design: Systematic review.\nMethods: Electronic databases were searched to January 2019. Studies (all designs) investigating interventions for people with proximal hamstring tendinopathy were eligible. Outcomes included symptoms, physical function, quality of life and adverse events. Studies were screened for risk of bias. Reporting quality was assessed using the Cochrane Risk of Bias Tool (Randomized Controlled Trials [RCT]) and the Joanna Briggs Institute Checklist (Case Series). Effect sizes (Standard mean difference or Standard paired difference) of 0.2, 0.5 and 0.8 were considered as small, medium and large respectively. Overall quality of evidence was rated according to GRADE guidelines.\nResults: Twelve studies (2 RCTs and 10 case series) were included (n=424; males 229). RCTs examined the following interventions: platelet-rich plasma injection (n=1), autologous whole-blood injection (n=1), shockwave therapy (n=1) and multi-modal intervention (n=1). Case series included evaluation of the following interventions: platelet-rich plasma injection (n=3), surgery (n=4), corticosteroid injection (n=2), multi-modal intervention + platelet-rich plasma injection (n=1). Very low-level evidence found shockwave therapy was more effective than a multi-modal intervention, by a large effect on improving symptoms (-3.22 SMD; 95% CI -4.28, -2.16) and physical function (-2.42 SMD; 95% CI-3.33, -1.50) in the long-term. There was very low-level evidence of no difference between autologous whole-blood injection and platelet-rich plasma injection on physical function (0.17 SMD; 95% CI -0.86, 1.21) to (0.24 SMD; 95% CI -0.76, 1.24) and quality of life (-0.04 SMD; 95%CI -1.05, 0.97) in the medium-term. There was very low-quality evidence that surgery resulted in a large reduction in symptoms (-1.89 SPD; 95% CI -2.36, -1.41) to (-6.02 SPD; 95% CI -8.10, -3.94) and physical function (-4.08 SPD; 95%CI -5.53, -2.63) in the long-term.\nConclusions: There is insufficient evidence to recommend any one intervention over another. A pragmatic approach would be to initially trial approaches proven successful in other tendinopathies.\nLevel of evidence: Level 2a.","container-title":"International Journal of Sports Physical Therapy","DOI":"10.26603/001c.21250","ISSN":"2159-2896","issue":"2","journalAbbreviation":"Int J Sports Phys Ther","language":"eng","note":"PMID: 33842025\nPMCID: PMC8016446","page":"288-305","source":"PubMed","title":"Proximal Hamstring Tendinopathy: A Systematic Review of Interventions","title-short":"Proximal Hamstring Tendinopathy","volume":"16","author":[{"family":"Nasser","given":"Anthony Michael"},{"family":"Vicenzino","given":"Bill"},{"family":"Grimaldi","given":"Alison"},{"family":"Anderson","given":"Jay"},{"family":"Semciw","given":"Adam Ivan"}],"issued":{"date-parts":[["2021",4,2]]}}},{"id":9,"uris":["http://zotero.org/users/local/ehxbAYSD/items/ZAPRSD7A"],"uri":["http://zotero.org/users/local/ehxbAYSD/items/ZAPRSD7A"],"itemData":{"id":9,"type":"article-journal","abstract":"Objective: To systematically review and critically appraise the literature on the effectiveness of isometric exercise in comparison with other treatment strategies or no treatment in tendinopathy.\nDesign: A systematic review and meta-analysis of randomised controlled trials.\nData sources: Electronic searches of Medline, Cumulative Index to Nursing and Allied Health Literature, EMBASE and Cochrane were undertaken from inception to May 2020.\nMethods: Overall quality of each study was determined based on a combined assessment of internal validity, external validity and precision. For each outcome measure, level of evidence was rated based on the system by van Tulder et al.\nResults: Ten studies were identified and included in the review, including participants with patellar (n=4), rotator cuff (n=2), lateral elbow (n=2), Achilles (n=1) and gluteal (n=1) tendinopathies. Three were of good and seven were of poor overall quality. Based on limited evidence (level 3), isometric exercise was not superior to isotonic exercise for chronic tendinopathy either immediately following treatment or in the short term (≤12 weeks) for any of the investigated outcome measures. Additionally, for acute rotator cuff tendinopathy, isometric exercise appears to be no more effective than ice therapy in the short term (limited evidence; level 3).\nSummary: Isometric exercise does not appear to be superior to isotonic exercise in the management of chronic tendinopathy. The response to isometric exercise is variable both within and across tendinopathy populations. Isometric exercise can be used as part of a progressive loading programme as it may be beneficial for selected individuals.\nPROSPERO registration number: CRD42019147179.","container-title":"BMJ open sport &amp; exercise medicine","DOI":"10.1136/bmjsem-2020-000760","ISSN":"2055-7647","issue":"1","journalAbbreviation":"BMJ Open Sport Exerc Med","language":"eng","note":"PMID: 32818059\nPMCID: PMC7406028","page":"e000760","source":"PubMed","title":"Effectiveness of isometric exercise in the management of tendinopathy: a systematic review and meta-analysis of randomised trials","title-short":"Effectiveness of isometric exercise in the management of tendinopathy","volume":"6","author":[{"family":"Clifford","given":"Christopher"},{"family":"Challoumas","given":"Dimitris"},{"family":"Paul","given":"Lorna"},{"family":"Syme","given":"Grant"},{"family":"Millar","given":"Neal L."}],"issued":{"date-parts":[["2020"]]}}},{"id":15,"uris":["http://zotero.org/users/local/ehxbAYSD/items/IVGAZMS6"],"uri":["http://zotero.org/users/local/ehxbAYSD/items/IVGAZMS6"],"itemData":{"id":15,"type":"article-journal","container-title":"PLOS ONE","DOI":"10.1371/journal.pone.0233459","ISSN":"1932-6203","issue":"5","journalAbbreviation":"PLoS ONE","language":"en","page":"e0233459","source":"DOI.org (Crossref)","title":"“It's disappointing and it's pretty frustrating, because it feels like it's something that will never go away.” A qualitative study exploring individuals’ beliefs and experiences of Achilles tendinopathy","volume":"15","author":[{"family":"Turner","given":"Jeffrey"},{"family":"Malliaras","given":"Peter"},{"family":"Goulis","given":"Jimmy"},{"family":"Mc Auliffe","given":"Seán"}],"editor":[{"family":"Martin","given":"Denis"}],"issued":{"date-parts":[["2020",5,29]]}}}],"schema":"https://github.com/citation-style-language/schema/raw/master/csl-citation.json"} </w:instrText>
      </w:r>
      <w:r>
        <w:fldChar w:fldCharType="separate"/>
      </w:r>
      <w:r w:rsidRPr="00393DFE">
        <w:rPr>
          <w:rFonts w:ascii="Calibri" w:hAnsi="Calibri" w:cs="Calibri"/>
          <w:szCs w:val="24"/>
        </w:rPr>
        <w:t>[4–8]</w:t>
      </w:r>
      <w:r>
        <w:fldChar w:fldCharType="end"/>
      </w:r>
      <w:r>
        <w:t xml:space="preserve">. </w:t>
      </w:r>
    </w:p>
    <w:p w14:paraId="2CBD973B" w14:textId="2D965480" w:rsidR="009E1E2B" w:rsidRDefault="009E1E2B" w:rsidP="0073257F">
      <w:pPr>
        <w:spacing w:line="360" w:lineRule="auto"/>
      </w:pPr>
      <w:r>
        <w:t xml:space="preserve">Exercise is often described as the gold standard intervention for tendinopathy, but the certainty with which this can be claimed is unclear. Despite the range of exercise interventions available, many patients continue to experience pain and disability after interventions end </w:t>
      </w:r>
      <w:r>
        <w:fldChar w:fldCharType="begin"/>
      </w:r>
      <w:r>
        <w:instrText xml:space="preserve"> ADDIN ZOTERO_ITEM CSL_CITATION {"citationID":"wfMXfInk","properties":{"formattedCitation":"[3]","plainCitation":"[3]","noteIndex":0},"citationItems":[{"id":45,"uris":["http://zotero.org/users/local/ehxbAYSD/items/7BAK56AH"],"uri":["http://zotero.org/users/local/ehxbAYSD/items/7BAK56AH"],"itemData":{"id":45,"type":"article-journal","container-title":"Musculoskeletal Science and Practice","DOI":"10.1016/j.msksp.2021.102322","ISSN":"24687812","journalAbbreviation":"Musculoskeletal Science and Practice","language":"en","page":"102322","source":"DOI.org (Crossref)","title":"Less than half of patients in secondary care adheres to clinical guidelines for subacromial pain syndrome and have acceptable symptoms after treatment: A Danish nationwide cohort study of 3306 patients","title-short":"Less than half of patients in secondary care adheres to clinical guidelines for subacromial pain syndrome and have acceptable symptoms after treatment","volume":"52","author":[{"family":"Clausen","given":"Mikkel Bek"},{"family":"Merrild","given":"Mikas Bjørn"},{"family":"Holm","given":"Kika"},{"family":"Pedersen","given":"Mads Welling"},{"family":"Andersen","given":"Lars Louis"},{"family":"Zebis","given":"Mette Kreutzfeldt"},{"family":"Jakobsen","given":"Thomas Linding"},{"family":"Thorborg","given":"Kristian"}],"issued":{"date-parts":[["2021",4]]}}}],"schema":"https://github.com/citation-style-language/schema/raw/master/csl-citation.json"} </w:instrText>
      </w:r>
      <w:r>
        <w:fldChar w:fldCharType="separate"/>
      </w:r>
      <w:r w:rsidRPr="00990178">
        <w:rPr>
          <w:rFonts w:ascii="Calibri" w:hAnsi="Calibri" w:cs="Calibri"/>
        </w:rPr>
        <w:t>[3]</w:t>
      </w:r>
      <w:r>
        <w:fldChar w:fldCharType="end"/>
      </w:r>
      <w:r>
        <w:t xml:space="preserve">. The reason for this is unclear, but it may be due to inappropriate selection of treatment parameters such as exercise type, </w:t>
      </w:r>
      <w:r w:rsidR="00521DC4">
        <w:t>dose,</w:t>
      </w:r>
      <w:r>
        <w:t xml:space="preserve"> and supplementary treatment modalities. However, low certainty evidence, due to limitations in study quality, has also contributed to uncertainty in exercise intervention outcomes </w:t>
      </w:r>
      <w:r>
        <w:fldChar w:fldCharType="begin"/>
      </w:r>
      <w:r>
        <w:instrText xml:space="preserve"> ADDIN ZOTERO_ITEM CSL_CITATION {"citationID":"BdykkZDx","properties":{"formattedCitation":"[7,9,10]","plainCitation":"[7,9,10]","noteIndex":0},"citationItems":[{"id":9,"uris":["http://zotero.org/users/local/ehxbAYSD/items/ZAPRSD7A"],"uri":["http://zotero.org/users/local/ehxbAYSD/items/ZAPRSD7A"],"itemData":{"id":9,"type":"article-journal","abstract":"Objective: To systematically review and critically appraise the literature on the effectiveness of isometric exercise in comparison with other treatment strategies or no treatment in tendinopathy.\nDesign: A systematic review and meta-analysis of randomised controlled trials.\nData sources: Electronic searches of Medline, Cumulative Index to Nursing and Allied Health Literature, EMBASE and Cochrane were undertaken from inception to May 2020.\nMethods: Overall quality of each study was determined based on a combined assessment of internal validity, external validity and precision. For each outcome measure, level of evidence was rated based on the system by van Tulder et al.\nResults: Ten studies were identified and included in the review, including participants with patellar (n=4), rotator cuff (n=2), lateral elbow (n=2), Achilles (n=1) and gluteal (n=1) tendinopathies. Three were of good and seven were of poor overall quality. Based on limited evidence (level 3), isometric exercise was not superior to isotonic exercise for chronic tendinopathy either immediately following treatment or in the short term (≤12 weeks) for any of the investigated outcome measures. Additionally, for acute rotator cuff tendinopathy, isometric exercise appears to be no more effective than ice therapy in the short term (limited evidence; level 3).\nSummary: Isometric exercise does not appear to be superior to isotonic exercise in the management of chronic tendinopathy. The response to isometric exercise is variable both within and across tendinopathy populations. Isometric exercise can be used as part of a progressive loading programme as it may be beneficial for selected individuals.\nPROSPERO registration number: CRD42019147179.","container-title":"BMJ open sport &amp; exercise medicine","DOI":"10.1136/bmjsem-2020-000760","ISSN":"2055-7647","issue":"1","journalAbbreviation":"BMJ Open Sport Exerc Med","language":"eng","note":"PMID: 32818059\nPMCID: PMC7406028","page":"e000760","source":"PubMed","title":"Effectiveness of isometric exercise in the management of tendinopathy: a systematic review and meta-analysis of randomised trials","title-short":"Effectiveness of isometric exercise in the management of tendinopathy","volume":"6","author":[{"family":"Clifford","given":"Christopher"},{"family":"Challoumas","given":"Dimitris"},{"family":"Paul","given":"Lorna"},{"family":"Syme","given":"Grant"},{"family":"Millar","given":"Neal L."}],"issued":{"date-parts":[["2020"]]}}},{"id":13,"uris":["http://zotero.org/users/local/ehxbAYSD/items/J3B66HV2"],"uri":["http://zotero.org/users/local/ehxbAYSD/items/J3B66HV2"],"itemData":{"id":13,"type":"article-journal","container-title":"Systematic Reviews","DOI":"10.1186/s13643-019-1058-9","ISSN":"2046-4053","issue":"1","journalAbbreviation":"Syst Rev","language":"en","page":"142","source":"DOI.org (Crossref)","title":"Exercise therapy in the treatment of tendinopathies of the lower limbs: a protocol of a systematic review","title-short":"Exercise therapy in the treatment of tendinopathies of the lower limbs","volume":"8","author":[{"family":"Santos Franco","given":"Yuri Rafael","non-dropping-particle":"dos"},{"family":"Miyamoto","given":"Gisela Cristiane"},{"family":"Franco","given":"Katherinne Ferro Moura"},{"family":"Oliveira","given":"Rodrigo Ribeiro","non-dropping-particle":"de"},{"family":"Cabral","given":"Cristina Maria Nunes"}],"issued":{"date-parts":[["2019",12]]}}},{"id":51,"uris":["http://zotero.org/users/local/ehxbAYSD/items/ZMUTKA5M"],"uri":["http://zotero.org/users/local/ehxbAYSD/items/ZMUTKA5M"],"itemData":{"id":51,"type":"article-journal","abstract":"Objective:\n              Synthesize evidence regarding effectiveness of progressive and resisted or non-progressive and non-resisted exercise compared with placebo or no treatment, in rotator cuff related pain.\n            \n            \n              Data sources:\n              English articles, searched in Cochrane CENTRAL, MEDLINE, EMBASE and CINAHL databases up until May 19, 2020.\n            \n            \n              Methods:\n              Randomized controlled trials in people with rotator cuff related pain comparing either progressive and resisted exercise or non-progressive and non-resisted exercise, with placebo or no treatment were included. Data extracted independently by two authors. Risk of bias appraised with the Cochrane Collaboration tool.\n            \n            \n              Results:\n              Seven trials (468 participants) were included, four trials (271 participants) included progressive and resisted exercise and three trials (197 participants) included non-progressive or non-resisted exercise. There was uncertain clinical benefit for composite pain and function (15 point difference, 95% CI 9 to 21, 100-point scale) and pain outcomes at &gt;6 weeks to 6 months with progressive and resisted exercise compared to placebo or no treatment (comparison 1). For non-progressive or non-resisted exercise there was no significant benefit for composite pain and function (4 point difference, 95% CI −2 to 9, 100-point scale) and pain outcomes at &gt;6 weeks to 6 months compared to placebo or no treatment (comparison 2). Adverse events were seldom reported and mild.\n            \n            \n              Conclusions:\n              There is uncertain clinical benefit for all outcomes with progressive and resisted exercise and no significant benefit with non-progressive and non-resisted exercise, versus no treatment or placebo at &gt;6 weeks to 6 months. Findings are low certainty and should be interpreted with caution.","container-title":"Clinical Rehabilitation","DOI":"10.1177/0269215520934147","ISSN":"0269-2155, 1477-0873","issue":"9","journalAbbreviation":"Clin Rehabil","language":"en","page":"1198-1216","source":"DOI.org (Crossref)","title":"Effectiveness of progressive and resisted and non-progressive or non-resisted exercise in rotator cuff related shoulder pain: a systematic review and meta-analysis of randomized controlled trials","title-short":"Effectiveness of progressive and resisted and non-progressive or non-resisted exercise in rotator cuff related shoulder pain","volume":"34","author":[{"family":"Naunton","given":"Josh"},{"family":"Street","given":"Gabrielle"},{"family":"Littlewood","given":"Chris"},{"family":"Haines","given":"Terrence"},{"family":"Malliaras","given":"Peter"}],"issued":{"date-parts":[["2020",9]]}}}],"schema":"https://github.com/citation-style-language/schema/raw/master/csl-citation.json"} </w:instrText>
      </w:r>
      <w:r>
        <w:fldChar w:fldCharType="separate"/>
      </w:r>
      <w:r w:rsidRPr="00EA7365">
        <w:rPr>
          <w:rFonts w:ascii="Calibri" w:hAnsi="Calibri" w:cs="Calibri"/>
        </w:rPr>
        <w:t>[7,9,10]</w:t>
      </w:r>
      <w:r>
        <w:fldChar w:fldCharType="end"/>
      </w:r>
      <w:r>
        <w:t xml:space="preserve">. Given the substantial body of evidence on exercise interventions for tendinopathies, it is important to map what is, and is not, currently known, </w:t>
      </w:r>
      <w:r w:rsidR="00617153">
        <w:t>that can then</w:t>
      </w:r>
      <w:r>
        <w:t xml:space="preserve"> inform meaningful future research </w:t>
      </w:r>
      <w:r w:rsidR="00617153">
        <w:t xml:space="preserve">and evidence synthesis </w:t>
      </w:r>
      <w:r>
        <w:t>on this important topic. Scoping review methodology is best placed to enable this comprehensive mapping, and no such scoping review has been conducted previously. Therefore, the aim of this scoping review was to comprehensively map the existing evidence on exercise for the treatment of tendinopathies, addressing two specific questions: 1) What exercise interventions have been reported in the literature and for which tendinopathies? 2) What outcomes have been reported in studies investigating exercise interventions for tendinopathies?</w:t>
      </w:r>
      <w:r w:rsidR="00617153">
        <w:t xml:space="preserve"> The results of this scoping review will inform subsequent systematic reviews to be conducted by this review team.</w:t>
      </w:r>
      <w:r>
        <w:br w:type="page"/>
      </w:r>
    </w:p>
    <w:p w14:paraId="6D2A512E" w14:textId="38DF6D5C" w:rsidR="00A17837" w:rsidRDefault="002D3A0A" w:rsidP="0073257F">
      <w:pPr>
        <w:pStyle w:val="Heading1"/>
      </w:pPr>
      <w:r>
        <w:lastRenderedPageBreak/>
        <w:t>METHOD</w:t>
      </w:r>
    </w:p>
    <w:p w14:paraId="0CD0ABA0" w14:textId="33191BD9" w:rsidR="003423D2" w:rsidRDefault="004B610B" w:rsidP="0073257F">
      <w:pPr>
        <w:pStyle w:val="Heading2"/>
      </w:pPr>
      <w:r>
        <w:t xml:space="preserve">2.1 </w:t>
      </w:r>
      <w:r w:rsidR="003423D2" w:rsidRPr="00C77D22">
        <w:t>Design</w:t>
      </w:r>
    </w:p>
    <w:p w14:paraId="3C1CCA5D" w14:textId="343F367A" w:rsidR="003423D2" w:rsidRDefault="007773EE" w:rsidP="0073257F">
      <w:pPr>
        <w:spacing w:line="360" w:lineRule="auto"/>
      </w:pPr>
      <w:r>
        <w:t>This review was conducted in accordance with JBI s</w:t>
      </w:r>
      <w:r w:rsidR="22DE3690">
        <w:t>coping review</w:t>
      </w:r>
      <w:r w:rsidR="65222AE5">
        <w:t xml:space="preserve"> method</w:t>
      </w:r>
      <w:r w:rsidR="7BE39D9F">
        <w:t>ology</w:t>
      </w:r>
      <w:r w:rsidR="00393DFE">
        <w:t xml:space="preserve"> </w:t>
      </w:r>
      <w:r w:rsidR="00393DFE">
        <w:fldChar w:fldCharType="begin"/>
      </w:r>
      <w:r w:rsidR="001D0856">
        <w:instrText xml:space="preserve"> ADDIN ZOTERO_ITEM CSL_CITATION {"citationID":"n4dOAoiN","properties":{"formattedCitation":"[11]","plainCitation":"[11]","noteIndex":0},"citationItems":[{"id":18,"uris":["http://zotero.org/users/local/ehxbAYSD/items/ZHWBU3RG"],"uri":["http://zotero.org/users/local/ehxbAYSD/items/ZHWBU3RG"],"itemData":{"id":18,"type":"webpage","container-title":"Joanna Briggs Institute Reviewer's Manual, JBI","title":"Chapter 11: Scoping Reviews","URL":"https://reviewersmanual.joannabriggs.org/","author":[{"family":"Peters","given":"MDJ"},{"family":"Godfrey","given":"C"},{"family":"McInerney","given":"P"},{"family":"Munn","given":"Z"},{"family":"Tricco","given":"AC"}],"issued":{"date-parts":[["2020"]]}}}],"schema":"https://github.com/citation-style-language/schema/raw/master/csl-citation.json"} </w:instrText>
      </w:r>
      <w:r w:rsidR="00393DFE">
        <w:fldChar w:fldCharType="separate"/>
      </w:r>
      <w:r w:rsidR="001D0856" w:rsidRPr="001D0856">
        <w:rPr>
          <w:rFonts w:ascii="Calibri" w:hAnsi="Calibri" w:cs="Calibri"/>
        </w:rPr>
        <w:t>[11]</w:t>
      </w:r>
      <w:r w:rsidR="00393DFE">
        <w:fldChar w:fldCharType="end"/>
      </w:r>
      <w:r>
        <w:t xml:space="preserve"> and</w:t>
      </w:r>
      <w:r w:rsidR="65222AE5">
        <w:t xml:space="preserve"> </w:t>
      </w:r>
      <w:r>
        <w:t>t</w:t>
      </w:r>
      <w:r w:rsidR="65222AE5">
        <w:t>he</w:t>
      </w:r>
      <w:r w:rsidR="7E8778BF">
        <w:t xml:space="preserve"> </w:t>
      </w:r>
      <w:r w:rsidR="65222AE5">
        <w:t>objectives</w:t>
      </w:r>
      <w:r w:rsidR="00786582">
        <w:t xml:space="preserve"> </w:t>
      </w:r>
      <w:r w:rsidR="65222AE5">
        <w:t xml:space="preserve">and methods were </w:t>
      </w:r>
      <w:r w:rsidR="008D6706">
        <w:t xml:space="preserve">registered </w:t>
      </w:r>
      <w:r w:rsidR="004D3B58">
        <w:t xml:space="preserve">and published </w:t>
      </w:r>
      <w:r w:rsidR="008D6706">
        <w:t xml:space="preserve">as an </w:t>
      </w:r>
      <w:r w:rsidR="008D6706" w:rsidRPr="00FC545D">
        <w:rPr>
          <w:i/>
        </w:rPr>
        <w:t>a-priori</w:t>
      </w:r>
      <w:r w:rsidR="65222AE5">
        <w:t xml:space="preserve"> protocol</w:t>
      </w:r>
      <w:r w:rsidR="001D0856">
        <w:t xml:space="preserve"> </w:t>
      </w:r>
      <w:r w:rsidR="001D0856">
        <w:fldChar w:fldCharType="begin"/>
      </w:r>
      <w:r w:rsidR="001D0856">
        <w:instrText xml:space="preserve"> ADDIN ZOTERO_ITEM CSL_CITATION {"citationID":"z7z1Npde","properties":{"formattedCitation":"[12]","plainCitation":"[12]","noteIndex":0},"citationItems":[{"id":19,"uris":["http://zotero.org/users/local/ehxbAYSD/items/PWVCMZN2"],"uri":["http://zotero.org/users/local/ehxbAYSD/items/PWVCMZN2"],"itemData":{"id":19,"type":"article-journal","container-title":"JBI Evidence Synthesis","DOI":"10.11124/JBIES-20-00175","ISSN":"2689-8381","issue":"7","language":"en","page":"1713-1719","source":"DOI.org (Crossref)","title":"Exercise therapy for the treatment of tendinopathies: a scoping review protocol","title-short":"Exercise therapy for the treatment of tendinopathies","volume":"19","author":[{"family":"Alexander","given":"Lyndsay A."},{"family":"Morrissey","given":"Dylan"},{"family":"Swinton","given":"Paul"},{"family":"Maclean","given":"Colin"},{"family":"Harrison","given":"Isabelle"},{"family":"Cooper","given":"Kay"}],"issued":{"date-parts":[["2021",7]]}}}],"schema":"https://github.com/citation-style-language/schema/raw/master/csl-citation.json"} </w:instrText>
      </w:r>
      <w:r w:rsidR="001D0856">
        <w:fldChar w:fldCharType="separate"/>
      </w:r>
      <w:r w:rsidR="001D0856" w:rsidRPr="001D0856">
        <w:rPr>
          <w:rFonts w:ascii="Calibri" w:hAnsi="Calibri" w:cs="Calibri"/>
        </w:rPr>
        <w:t>[12]</w:t>
      </w:r>
      <w:r w:rsidR="001D0856">
        <w:fldChar w:fldCharType="end"/>
      </w:r>
      <w:r w:rsidR="390959BD">
        <w:t>.</w:t>
      </w:r>
      <w:r w:rsidR="65222AE5">
        <w:t xml:space="preserve">  </w:t>
      </w:r>
      <w:r w:rsidR="00977309">
        <w:t xml:space="preserve">Scoping review methodology enables </w:t>
      </w:r>
      <w:r w:rsidR="7BE39D9F">
        <w:t>R</w:t>
      </w:r>
      <w:r w:rsidR="22DE3690">
        <w:t xml:space="preserve">eporting of this review </w:t>
      </w:r>
      <w:r w:rsidR="6A22E5FE">
        <w:t>was</w:t>
      </w:r>
      <w:r w:rsidR="22DE3690">
        <w:t xml:space="preserve"> guided by the PRISMA extension for scoping reviews</w:t>
      </w:r>
      <w:r w:rsidR="001D0856">
        <w:t xml:space="preserve"> </w:t>
      </w:r>
      <w:r w:rsidR="001D0856">
        <w:fldChar w:fldCharType="begin"/>
      </w:r>
      <w:r w:rsidR="001D0856">
        <w:instrText xml:space="preserve"> ADDIN ZOTERO_ITEM CSL_CITATION {"citationID":"IDtknpPQ","properties":{"formattedCitation":"[13]","plainCitation":"[13]","noteIndex":0},"citationItems":[{"id":20,"uris":["http://zotero.org/users/local/ehxbAYSD/items/WTA5Q8FZ"],"uri":["http://zotero.org/users/local/ehxbAYSD/items/WTA5Q8FZ"],"itemData":{"id":20,"type":"article-journal","container-title":"Annals of Internal Medicine","DOI":"10.7326/M18-0850","ISSN":"0003-4819, 1539-3704","issue":"7","journalAbbreviation":"Ann Intern Med","language":"en","page":"467-473","source":"DOI.org (Crossref)","title":"PRISMA Extension for Scoping Reviews (PRISMA-ScR): Checklist and Explanation","title-short":"PRISMA Extension for Scoping Reviews (PRISMA-ScR)","volume":"169","author":[{"family":"Tricco","given":"Andrea C."},{"family":"Lillie","given":"Erin"},{"family":"Zarin","given":"Wasifa"},{"family":"O'Brien","given":"Kelly K."},{"family":"Colquhoun","given":"Heather"},{"family":"Levac","given":"Danielle"},{"family":"Moher","given":"David"},{"family":"Peters","given":"Micah D.J."},{"family":"Horsley","given":"Tanya"},{"family":"Weeks","given":"Laura"},{"family":"Hempel","given":"Susanne"},{"family":"Akl","given":"Elie A."},{"family":"Chang","given":"Christine"},{"family":"McGowan","given":"Jessie"},{"family":"Stewart","given":"Lesley"},{"family":"Hartling","given":"Lisa"},{"family":"Aldcroft","given":"Adrian"},{"family":"Wilson","given":"Michael G."},{"family":"Garritty","given":"Chantelle"},{"family":"Lewin","given":"Simon"},{"family":"Godfrey","given":"Christina M."},{"family":"Macdonald","given":"Marilyn T."},{"family":"Langlois","given":"Etienne V."},{"family":"Soares-Weiser","given":"Karla"},{"family":"Moriarty","given":"Jo"},{"family":"Clifford","given":"Tammy"},{"family":"Tunçalp","given":"Özge"},{"family":"Straus","given":"Sharon E."}],"issued":{"date-parts":[["2018",10,2]]}}}],"schema":"https://github.com/citation-style-language/schema/raw/master/csl-citation.json"} </w:instrText>
      </w:r>
      <w:r w:rsidR="001D0856">
        <w:fldChar w:fldCharType="separate"/>
      </w:r>
      <w:r w:rsidR="001D0856" w:rsidRPr="001D0856">
        <w:rPr>
          <w:rFonts w:ascii="Calibri" w:hAnsi="Calibri" w:cs="Calibri"/>
        </w:rPr>
        <w:t>[13]</w:t>
      </w:r>
      <w:r w:rsidR="001D0856">
        <w:fldChar w:fldCharType="end"/>
      </w:r>
      <w:r w:rsidR="22DE3690">
        <w:t>.</w:t>
      </w:r>
    </w:p>
    <w:p w14:paraId="57565E25" w14:textId="711EF34E" w:rsidR="003423D2" w:rsidRDefault="004B610B" w:rsidP="0073257F">
      <w:pPr>
        <w:pStyle w:val="Heading2"/>
      </w:pPr>
      <w:r>
        <w:t xml:space="preserve">2.2 </w:t>
      </w:r>
      <w:r w:rsidR="003423D2">
        <w:t>Inclusion criteria</w:t>
      </w:r>
    </w:p>
    <w:p w14:paraId="67450D15" w14:textId="77777777" w:rsidR="0053356A" w:rsidRDefault="0053356A" w:rsidP="0073257F">
      <w:pPr>
        <w:spacing w:line="360" w:lineRule="auto"/>
      </w:pPr>
      <w:r>
        <w:t>Inclusion criteria for this review were classified using the “PCC” (Participants, Concept, Context) mnemonic.</w:t>
      </w:r>
    </w:p>
    <w:p w14:paraId="5F13CC2C" w14:textId="77777777" w:rsidR="0053356A" w:rsidRDefault="0053356A" w:rsidP="0073257F">
      <w:pPr>
        <w:spacing w:line="360" w:lineRule="auto"/>
      </w:pPr>
      <w:r w:rsidRPr="4D871791">
        <w:rPr>
          <w:i/>
          <w:iCs/>
        </w:rPr>
        <w:t>Participants</w:t>
      </w:r>
      <w:r>
        <w:rPr>
          <w:iCs/>
        </w:rPr>
        <w:t>:</w:t>
      </w:r>
      <w:r w:rsidRPr="4D871791">
        <w:rPr>
          <w:i/>
          <w:iCs/>
        </w:rPr>
        <w:t xml:space="preserve"> </w:t>
      </w:r>
      <w:r>
        <w:t xml:space="preserve">People of any age or gender with a diagnosis of tendinopathy of any severity or duration and at any anatomical location were included. Large, full-thickness or massive tears were excluded, as were groups where tear size could not be determined </w:t>
      </w:r>
      <w:r>
        <w:fldChar w:fldCharType="begin"/>
      </w:r>
      <w:r>
        <w:instrText xml:space="preserve"> ADDIN ZOTERO_ITEM CSL_CITATION {"citationID":"kQGE786A","properties":{"formattedCitation":"[14]","plainCitation":"[14]","noteIndex":0},"citationItems":[{"id":22,"uris":["http://zotero.org/users/local/ehxbAYSD/items/6SM78BYM"],"uri":["http://zotero.org/users/local/ehxbAYSD/items/6SM78BYM"],"itemData":{"id":22,"type":"article-journal","container-title":"Knee Surgery, Sports Traumatology, Arthroscopy","DOI":"10.1007/s00167-016-4223-x","ISSN":"0942-2056, 1433-7347","issue":"7","journalAbbreviation":"Knee Surg Sports Traumatol Arthrosc","language":"en","page":"2051-2059","source":"DOI.org (Crossref)","title":"Eccentric versus conventional exercise therapy in patients with rotator cuff tendinopathy: a randomized, single blinded, clinical trial","title-short":"Eccentric versus conventional exercise therapy in patients with rotator cuff tendinopathy","volume":"25","author":[{"family":"Dejaco","given":"Beate"},{"family":"Habets","given":"Bas"},{"family":"Loon","given":"Corné","non-dropping-particle":"van"},{"family":"Grinsven","given":"Susan","non-dropping-particle":"van"},{"family":"Cingel","given":"Robert","non-dropping-particle":"van"}],"issued":{"date-parts":[["2017",7]]}}}],"schema":"https://github.com/citation-style-language/schema/raw/master/csl-citation.json"} </w:instrText>
      </w:r>
      <w:r>
        <w:fldChar w:fldCharType="separate"/>
      </w:r>
      <w:r w:rsidRPr="00693454">
        <w:rPr>
          <w:rFonts w:ascii="Calibri" w:hAnsi="Calibri" w:cs="Calibri"/>
        </w:rPr>
        <w:t>[14]</w:t>
      </w:r>
      <w:r>
        <w:fldChar w:fldCharType="end"/>
      </w:r>
      <w:r>
        <w:t xml:space="preserve">. Plantar heel pain was excluded as it is not a true tendinopathy and may respond differently to exercise compared with other common tendinopathies </w:t>
      </w:r>
      <w:r>
        <w:fldChar w:fldCharType="begin"/>
      </w:r>
      <w:r>
        <w:instrText xml:space="preserve"> ADDIN ZOTERO_ITEM CSL_CITATION {"citationID":"BFUzJ6SL","properties":{"formattedCitation":"[15]","plainCitation":"[15]","noteIndex":0},"citationItems":[{"id":23,"uris":["http://zotero.org/users/local/ehxbAYSD/items/AIK6QGDI"],"uri":["http://zotero.org/users/local/ehxbAYSD/items/AIK6QGDI"],"itemData":{"id":23,"type":"article-journal","abstract":"Objective\n              To develop a best practice guide for managing people with plantar heel pain (PHP).\n            \n            \n              Methods\n              Mixed-methods design including systematic review, expert interviews and patient survey.\n            \n            \n              Data sources\n              Medline, Embase, CINAHL, SPORTDiscus, Cochrane Central Register of Controlled Trials, trial registries, reference lists and citation tracking. Semi-structured interviews with world experts and a patient survey.\n            \n            \n              Eligibility criteria\n              Randomised controlled trials (RCTs) evaluating any intervention for people with PHP in any language were included subject to strict quality criteria. Trials with a sample size greater than n=38 were considered for proof of efficacy. International experts were interviewed using a semi-structured approach and people with PHP were surveyed online.\n            \n            \n              Results\n              Fifty-one eligible trials enrolled 4351 participants, with 9 RCTs suitable to determine proof of efficacy for 10 interventions. Forty people with PHP completed the online survey and 14 experts were interviewed resulting in 7 themes and 38 subthemes. There was good agreement between the systematic review findings and interview data about taping (SMD: 0.47, 95% CI 0.05 to 0.88) and plantar fascia stretching (SMD: 1.21, 95% CI 0.78 to 1.63) for first step pain in the short term. Clinical reasoning advocated combining these interventions with education and footwear advice as the core self-management approach. There was good expert agreement with systematic review findings recommending stepped care management with focused shockwave for first step pain in the short-term (OR: 1.89, 95% CI 1.18 to 3.04), medium-term (SMD 1.31, 95% CI 0.61 to 2.01) and long-term (SMD 1.67, 95% CI 0.88 to 2.45) and radial shockwave for first step pain in the short term (OR: 1.66, 95% CI 1.00 to 2.76) and long term (OR: 1.78, 95% CI 1.07 to 2.96). We found good agreement to ‘step care’ using custom foot orthoses for general pain in the short term (SMD: 0.41, 95% CI 0.07 to 0.74) and medium term (SMD: 0.55, 95% CI 0.09 to 1.02).\n            \n            \n              Conclusion\n              Best practice from a mixed-methods study synthesising systematic review with expert opinion and patient feedback suggests core treatment for people with PHP should include taping, stretching and individualised education. Patients who do not optimally improve may be offered shockwave therapy, followed by custom orthoses.","container-title":"British Journal of Sports Medicine","DOI":"10.1136/bjsports-2019-101970","ISSN":"0306-3674, 1473-0480","journalAbbreviation":"Br J Sports Med","language":"en","page":"bjsports-2019-101970","source":"DOI.org (Crossref)","title":"Management of plantar heel pain: a best practice guide informed by a systematic review, expert clinical reasoning and patient values","title-short":"Management of plantar heel pain","author":[{"family":"Morrissey","given":"Dylan"},{"family":"Cotchett","given":"Matthew"},{"family":"Said J'Bari","given":"Ahmed"},{"family":"Prior","given":"Trevor"},{"family":"Griffiths","given":"Ian B"},{"family":"Rathleff","given":"Michael Skovdal"},{"family":"Gulle","given":"Halime"},{"family":"Vicenzino","given":"Bill"},{"family":"Barton","given":"Christian J"}],"issued":{"date-parts":[["2021",3,30]]}}}],"schema":"https://github.com/citation-style-language/schema/raw/master/csl-citation.json"} </w:instrText>
      </w:r>
      <w:r>
        <w:fldChar w:fldCharType="separate"/>
      </w:r>
      <w:r w:rsidRPr="00693454">
        <w:rPr>
          <w:rFonts w:ascii="Calibri" w:hAnsi="Calibri" w:cs="Calibri"/>
        </w:rPr>
        <w:t>[15]</w:t>
      </w:r>
      <w:r>
        <w:fldChar w:fldCharType="end"/>
      </w:r>
      <w:r>
        <w:t xml:space="preserve">. Wrist and hand tendinopathy were also excluded for this reason.  </w:t>
      </w:r>
    </w:p>
    <w:p w14:paraId="158CA341" w14:textId="77777777" w:rsidR="0053356A" w:rsidRPr="003423D2" w:rsidRDefault="0053356A" w:rsidP="0073257F">
      <w:pPr>
        <w:spacing w:line="360" w:lineRule="auto"/>
      </w:pPr>
      <w:r w:rsidRPr="39FF2612">
        <w:rPr>
          <w:i/>
          <w:iCs/>
        </w:rPr>
        <w:t>Concept</w:t>
      </w:r>
      <w:r>
        <w:t>:</w:t>
      </w:r>
      <w:r w:rsidRPr="39FF2612">
        <w:rPr>
          <w:i/>
          <w:iCs/>
        </w:rPr>
        <w:t xml:space="preserve"> </w:t>
      </w:r>
      <w:r>
        <w:t>Exercise interventions that could be categorised as one or more of strengthening, flexibility, aerobic, proprioception or motor control were included. They could be first or second-line interventions and could be used in isolation or in combination with other interventions such as injection, extracorporeal shockwave therapy (ESWT), or manual therapy. Studies focussing on exercise following surgical repair were excluded as the review concerned non-surgical management of tendinopathy. Exercise interventions delivered by any health or exercise professional (e.g., physiotherapist, strength &amp; conditioning coach, personal trainer) or support worker, either supervised or unsupervised were included. Any outcomes used to evaluate exercise interventions were included.</w:t>
      </w:r>
    </w:p>
    <w:p w14:paraId="4F5FC456" w14:textId="77777777" w:rsidR="0053356A" w:rsidRDefault="0053356A" w:rsidP="0073257F">
      <w:pPr>
        <w:spacing w:line="360" w:lineRule="auto"/>
      </w:pPr>
      <w:r w:rsidRPr="004B610B">
        <w:rPr>
          <w:i/>
        </w:rPr>
        <w:t>Context</w:t>
      </w:r>
      <w:r>
        <w:t>:</w:t>
      </w:r>
      <w:r w:rsidRPr="004B610B">
        <w:rPr>
          <w:i/>
        </w:rPr>
        <w:t xml:space="preserve"> </w:t>
      </w:r>
      <w:r>
        <w:t xml:space="preserve">All settings including primary care, secondary care, community locations or people’s homes in any developed nation (defined as the top 62 countries in the Human Development Index; HDI </w:t>
      </w:r>
      <w:r>
        <w:fldChar w:fldCharType="begin"/>
      </w:r>
      <w:r>
        <w:instrText xml:space="preserve"> ADDIN ZOTERO_ITEM CSL_CITATION {"citationID":"raOeZvEM","properties":{"formattedCitation":"[16]","plainCitation":"[16]","noteIndex":0},"citationItems":[{"id":26,"uris":["http://zotero.org/users/local/ehxbAYSD/items/ZE8HP9TS"],"uri":["http://zotero.org/users/local/ehxbAYSD/items/ZE8HP9TS"],"itemData":{"id":26,"type":"report","event-place":"New York","publisher":"United Nations","publisher-place":"New York","title":"Human Development Reports [Internet]","URL":"http://hdr.undp.org/sites/default/files/hdro_statistical_data_table1.pdf","author":[{"family":"United Nations Development Program","given":""}],"accessed":{"date-parts":[["2020",3,2]]},"issued":{"date-parts":[["2019"]]}}}],"schema":"https://github.com/citation-style-language/schema/raw/master/csl-citation.json"} </w:instrText>
      </w:r>
      <w:r>
        <w:fldChar w:fldCharType="separate"/>
      </w:r>
      <w:r w:rsidRPr="00307E7E">
        <w:rPr>
          <w:rFonts w:ascii="Calibri" w:hAnsi="Calibri" w:cs="Calibri"/>
        </w:rPr>
        <w:t>[16]</w:t>
      </w:r>
      <w:r>
        <w:fldChar w:fldCharType="end"/>
      </w:r>
      <w:r>
        <w:t>) were included.</w:t>
      </w:r>
    </w:p>
    <w:p w14:paraId="04D8D0B8" w14:textId="502F3794" w:rsidR="006E7513" w:rsidRPr="00143256" w:rsidRDefault="5CFB7239" w:rsidP="0073257F">
      <w:pPr>
        <w:pStyle w:val="Heading2"/>
      </w:pPr>
      <w:r w:rsidRPr="4D871791">
        <w:t xml:space="preserve">2.3 </w:t>
      </w:r>
      <w:r w:rsidRPr="00143256">
        <w:t>Types of sources</w:t>
      </w:r>
    </w:p>
    <w:p w14:paraId="0BAB35AD" w14:textId="50428F5A" w:rsidR="00995236" w:rsidRDefault="097A9E7D" w:rsidP="0073257F">
      <w:pPr>
        <w:spacing w:line="360" w:lineRule="auto"/>
      </w:pPr>
      <w:r>
        <w:t>To</w:t>
      </w:r>
      <w:r w:rsidR="00995236">
        <w:t xml:space="preserve"> produce a comprehensive map</w:t>
      </w:r>
      <w:r w:rsidR="0EE8941B">
        <w:t xml:space="preserve"> of </w:t>
      </w:r>
      <w:r w:rsidR="71D81CDC">
        <w:t xml:space="preserve">exercise </w:t>
      </w:r>
      <w:r w:rsidR="68A7E582">
        <w:t>interventions</w:t>
      </w:r>
      <w:r w:rsidR="00995236">
        <w:t xml:space="preserve"> we included a range of study designs including experimental, observational, </w:t>
      </w:r>
      <w:r w:rsidR="3A8CC8DB">
        <w:t xml:space="preserve">pilot, </w:t>
      </w:r>
      <w:r w:rsidR="00995236">
        <w:t>mixed-methods</w:t>
      </w:r>
      <w:r w:rsidR="003E248D">
        <w:t>,</w:t>
      </w:r>
      <w:r w:rsidR="00995236">
        <w:t xml:space="preserve"> qualitative</w:t>
      </w:r>
      <w:r w:rsidR="00AA089D">
        <w:t xml:space="preserve"> </w:t>
      </w:r>
      <w:r w:rsidR="003E248D">
        <w:t>and systematic reviews</w:t>
      </w:r>
      <w:r w:rsidR="001E68D9">
        <w:t>. Systematic reviews</w:t>
      </w:r>
      <w:r w:rsidR="008C5022">
        <w:t xml:space="preserve"> were included to map previous evidence syntheses and avoid replication in </w:t>
      </w:r>
      <w:r w:rsidR="008C5022">
        <w:lastRenderedPageBreak/>
        <w:t xml:space="preserve">future reviews. </w:t>
      </w:r>
      <w:r w:rsidR="00E10266">
        <w:t xml:space="preserve">Opinion, narrative </w:t>
      </w:r>
      <w:r w:rsidR="520A1EE8">
        <w:t xml:space="preserve">or </w:t>
      </w:r>
      <w:r w:rsidR="1ABB0BCA">
        <w:t>other non-systematic</w:t>
      </w:r>
      <w:r w:rsidR="00E10266">
        <w:t xml:space="preserve"> reviews, protocols, and case studies were </w:t>
      </w:r>
      <w:r w:rsidR="00C15C71">
        <w:t>excluded</w:t>
      </w:r>
      <w:r w:rsidR="00E10266">
        <w:t>.</w:t>
      </w:r>
    </w:p>
    <w:p w14:paraId="361D8843" w14:textId="069E37F6" w:rsidR="003423D2" w:rsidRPr="006E7513" w:rsidRDefault="7196AC9C" w:rsidP="0073257F">
      <w:pPr>
        <w:pStyle w:val="Heading2"/>
      </w:pPr>
      <w:r w:rsidRPr="4D871791">
        <w:t>2.</w:t>
      </w:r>
      <w:r w:rsidR="4AD39CA3" w:rsidRPr="4D871791">
        <w:t>4</w:t>
      </w:r>
      <w:r w:rsidRPr="4D871791">
        <w:t xml:space="preserve"> </w:t>
      </w:r>
      <w:r w:rsidR="6B5812E8" w:rsidRPr="4D871791">
        <w:t>Search Strategy</w:t>
      </w:r>
    </w:p>
    <w:p w14:paraId="6E281239" w14:textId="77777777" w:rsidR="0053356A" w:rsidRDefault="0053356A" w:rsidP="0073257F">
      <w:pPr>
        <w:spacing w:line="360" w:lineRule="auto"/>
      </w:pPr>
      <w:r>
        <w:t xml:space="preserve">A three-step search strategy was employed. Firstly, a limited search of CINAHL and Medline was conducted using exercise and tendinopathy terms. By reviewing the titles, abstracts and index terms of search results, a full search strategy using a combination of subject headings and keywords was constructed and adapted for each database before being applied to: MEDLINE, CINAHL, AMED, </w:t>
      </w:r>
      <w:proofErr w:type="spellStart"/>
      <w:r>
        <w:t>SPORTDiscus</w:t>
      </w:r>
      <w:proofErr w:type="spellEnd"/>
      <w:r>
        <w:t xml:space="preserve"> (all EBSCOhost), </w:t>
      </w:r>
      <w:proofErr w:type="spellStart"/>
      <w:r>
        <w:t>EMBase</w:t>
      </w:r>
      <w:proofErr w:type="spellEnd"/>
      <w:r>
        <w:t xml:space="preserve"> (Ovid), Cochrane library (Controlled trials, Systematic reviews), JBI Evidence Synthesis, </w:t>
      </w:r>
      <w:proofErr w:type="spellStart"/>
      <w:r>
        <w:t>PEDRo</w:t>
      </w:r>
      <w:proofErr w:type="spellEnd"/>
      <w:r>
        <w:t xml:space="preserve">, and </w:t>
      </w:r>
      <w:proofErr w:type="spellStart"/>
      <w:r>
        <w:t>Epistemonikos</w:t>
      </w:r>
      <w:proofErr w:type="spellEnd"/>
      <w:r>
        <w:t xml:space="preserve">. Grey and unpublished literature was searched for in trial registries (ClinicalTrials.gov, ISRCTN Registry, The Research Registry, EU-CTR [European Union Clinical Trials Registry], ANZCTR [Australia and New Zealand Clinical Trials Registry]), Open Grey, </w:t>
      </w:r>
      <w:proofErr w:type="spellStart"/>
      <w:r>
        <w:t>MedNar</w:t>
      </w:r>
      <w:proofErr w:type="spellEnd"/>
      <w:r>
        <w:t xml:space="preserve">, The New York Academy Grey Literature Report, Ethos, CORE, and Google Scholar using modified search terms. Full search strategies are presented in Supplementary file 1 (SF1). Four tendinopathy experts external to the review team reviewed the included study list for completeness. We included sources published in any language where a translation was accessible via Google Translate or the review team’s international networks. Searches were limited to 1998 onwards following the seminal publication of </w:t>
      </w:r>
      <w:proofErr w:type="spellStart"/>
      <w:r>
        <w:t>Alfredson</w:t>
      </w:r>
      <w:proofErr w:type="spellEnd"/>
      <w:r>
        <w:t xml:space="preserve"> et al.’s </w:t>
      </w:r>
      <w:r>
        <w:fldChar w:fldCharType="begin"/>
      </w:r>
      <w:r>
        <w:instrText xml:space="preserve"> ADDIN ZOTERO_ITEM CSL_CITATION {"citationID":"DxUu0m7R","properties":{"formattedCitation":"[17]","plainCitation":"[17]","noteIndex":0},"citationItems":[{"id":17,"uris":["http://zotero.org/users/local/ehxbAYSD/items/NUN5C4HW"],"uri":["http://zotero.org/users/local/ehxbAYSD/items/NUN5C4HW"],"itemData":{"id":17,"type":"article-journal","abstract":"We prospectively studied the effect of heavy-load eccentric calf muscle training in 15 recreational athletes (12 men and 3 women; mean age, 44.3 7.0 years) who had the diagnosis of chronic Achilles tendinosis (degenerative changes) with a long duration of symptoms despite conventional nonsurgical treatment. Calf muscle strength and the amount of pain during activity (recorded on a visual analog scale) were measured before onset of training and after 12 weeks of eccentric training. At week 0, all patients had Achilles tendon pain not allowing running activity, and there was significantly lower eccentric and concentric calf muscle strength on the injured compared with the noninjured side. After the 12-week training period, all 15 patients were back at their preinjury levels with full running activity. There was a significant decrease in pain during activity, and the calf muscle strength on the injured side had increased significantly and did not differ significantly from that of the noninjured side. A comparison group of 15 recreational athletes with the same diagnosis and a long duration of symptoms had been treated conventionally, i.e., rest, nonsteroidal antiinflammatory drugs, changes of shoes or orthoses, physical therapy, and in all cases also with ordinary training programs. In no case was the conventional treatment successful, and all patients were ultimately treated surgically. Our treatment model with heavy-load eccentric calf muscle training has a very good short-term effect on athletes in their early forties.","container-title":"The American Journal of Sports Medicine","DOI":"10.1177/03635465980260030301","ISSN":"0363-5465, 1552-3365","issue":"3","journalAbbreviation":"Am J Sports Med","language":"en","page":"360-366","source":"DOI.org (Crossref)","title":"Heavy-Load Eccentric Calf Muscle Training For the Treatment of Chronic Achilles Tendinosis","volume":"26","author":[{"family":"Alfredson","given":"Håkan"},{"family":"Pietilä","given":"Tom"},{"family":"Jonsson","given":"Per"},{"family":"Lorentzon","given":"Ronny"}],"issued":{"date-parts":[["1998",5]]}}}],"schema":"https://github.com/citation-style-language/schema/raw/master/csl-citation.json"} </w:instrText>
      </w:r>
      <w:r>
        <w:fldChar w:fldCharType="separate"/>
      </w:r>
      <w:r w:rsidRPr="00307E7E">
        <w:rPr>
          <w:rFonts w:ascii="Calibri" w:hAnsi="Calibri" w:cs="Calibri"/>
        </w:rPr>
        <w:t>[17]</w:t>
      </w:r>
      <w:r>
        <w:fldChar w:fldCharType="end"/>
      </w:r>
      <w:r>
        <w:t xml:space="preserve"> eccentric protocol for Achilles tendinopathy.</w:t>
      </w:r>
    </w:p>
    <w:p w14:paraId="4976E26E" w14:textId="0CBE6995" w:rsidR="00A14905" w:rsidRDefault="7196AC9C" w:rsidP="0073257F">
      <w:pPr>
        <w:pStyle w:val="Heading2"/>
      </w:pPr>
      <w:r w:rsidRPr="4D871791">
        <w:t>2.</w:t>
      </w:r>
      <w:r w:rsidR="00244579" w:rsidRPr="4D871791">
        <w:t>5</w:t>
      </w:r>
      <w:r w:rsidRPr="4D871791">
        <w:t xml:space="preserve"> </w:t>
      </w:r>
      <w:r w:rsidR="1E89A1AA" w:rsidRPr="4D871791">
        <w:t>Study selection</w:t>
      </w:r>
    </w:p>
    <w:p w14:paraId="323D8710" w14:textId="6F97E6BA" w:rsidR="00431890" w:rsidRPr="00B76AFB" w:rsidRDefault="00431890" w:rsidP="0073257F">
      <w:pPr>
        <w:spacing w:line="360" w:lineRule="auto"/>
      </w:pPr>
      <w:r>
        <w:t xml:space="preserve">Following the search, all identified sources were collated and uploaded into ProQuest® RefWorks and duplicates removed. Sources were then imported to Covidence (Melbourne, Australia) for two-level screening. Firstly, titles and abstracts were screened independently by two reviewers with conflicts identified by the management software and resolved by a third reviewer. Secondly, full-text copies of all sources included at title and abstract screening stage were then screened using the same processes. Excluded sources at full-text screening and reasons for exclusion are reported in </w:t>
      </w:r>
      <w:r w:rsidR="008357C1">
        <w:t>S</w:t>
      </w:r>
      <w:r>
        <w:t xml:space="preserve">upplementary file 2 (SF2). </w:t>
      </w:r>
    </w:p>
    <w:p w14:paraId="29B98027" w14:textId="2C633907" w:rsidR="00DA50A1" w:rsidRDefault="7196AC9C" w:rsidP="0073257F">
      <w:pPr>
        <w:pStyle w:val="Heading2"/>
      </w:pPr>
      <w:r w:rsidRPr="4D871791">
        <w:t>2.</w:t>
      </w:r>
      <w:r w:rsidR="272B8FB4" w:rsidRPr="4D871791">
        <w:t>6</w:t>
      </w:r>
      <w:r w:rsidRPr="4D871791">
        <w:t xml:space="preserve"> </w:t>
      </w:r>
      <w:r w:rsidR="31238746" w:rsidRPr="4D871791">
        <w:t>Data extraction</w:t>
      </w:r>
    </w:p>
    <w:p w14:paraId="7E83F019" w14:textId="2C02A503" w:rsidR="00431890" w:rsidRDefault="00431890" w:rsidP="0073257F">
      <w:pPr>
        <w:spacing w:line="360" w:lineRule="auto"/>
      </w:pPr>
      <w:r>
        <w:t xml:space="preserve">A data extraction tool developed for this review was used to extract the following information from primary studies: author(s); year of publication; country; aims/purpose  including the author’s focus on exercise i.e. primary (exercise as the novel intervention being studied), secondary (exercise as the control arm to another novel intervention), neutral (exercise being compared with other intervention/s where neither is the novel intervention or main focus of study); setting; population; </w:t>
      </w:r>
      <w:r>
        <w:lastRenderedPageBreak/>
        <w:t>study design; tendinopathy type; exercise intervention details including reporting and monitoring; outcomes including domains and tools used to evaluate interventions, and key findings. Data extraction from systematic reviews was limited to year of publication, aims/</w:t>
      </w:r>
      <w:r w:rsidR="00B06074">
        <w:t>purpose,</w:t>
      </w:r>
      <w:r>
        <w:t xml:space="preserve"> and tendinopathy type, as information on interventions and outcomes were extracted from the primary studies. Piloting and iterative development of the data extraction tool was conducted among the review team prior to commencing final extraction. Ten percent of data extraction was replicated in an informal assessment of consistency that was identified as appropriate and reflected the extensive piloting and discussions among the review team.  In accordance with scoping review methodology, critical appraisal was not conducted </w:t>
      </w:r>
      <w:r>
        <w:fldChar w:fldCharType="begin"/>
      </w:r>
      <w:r>
        <w:instrText xml:space="preserve"> ADDIN ZOTERO_ITEM CSL_CITATION {"citationID":"Sf63pQak","properties":{"formattedCitation":"[11]","plainCitation":"[11]","noteIndex":0},"citationItems":[{"id":18,"uris":["http://zotero.org/users/local/ehxbAYSD/items/ZHWBU3RG"],"uri":["http://zotero.org/users/local/ehxbAYSD/items/ZHWBU3RG"],"itemData":{"id":18,"type":"webpage","container-title":"Joanna Briggs Institute Reviewer's Manual, JBI","title":"Chapter 11: Scoping Reviews","URL":"https://reviewersmanual.joannabriggs.org/","author":[{"family":"Peters","given":"MDJ"},{"family":"Godfrey","given":"C"},{"family":"McInerney","given":"P"},{"family":"Munn","given":"Z"},{"family":"Tricco","given":"AC"}],"issued":{"date-parts":[["2020"]]}}}],"schema":"https://github.com/citation-style-language/schema/raw/master/csl-citation.json"} </w:instrText>
      </w:r>
      <w:r>
        <w:fldChar w:fldCharType="separate"/>
      </w:r>
      <w:r w:rsidRPr="008643AB">
        <w:rPr>
          <w:rFonts w:ascii="Calibri" w:hAnsi="Calibri" w:cs="Calibri"/>
        </w:rPr>
        <w:t>[11]</w:t>
      </w:r>
      <w:r>
        <w:fldChar w:fldCharType="end"/>
      </w:r>
      <w:r>
        <w:t>.</w:t>
      </w:r>
    </w:p>
    <w:p w14:paraId="6108E27A" w14:textId="2DA7246D" w:rsidR="003806B0" w:rsidRPr="003806B0" w:rsidRDefault="7196AC9C" w:rsidP="0073257F">
      <w:pPr>
        <w:pStyle w:val="Heading2"/>
      </w:pPr>
      <w:r w:rsidRPr="4D871791">
        <w:t>2.</w:t>
      </w:r>
      <w:r w:rsidR="7AF62906" w:rsidRPr="4D871791">
        <w:t>7</w:t>
      </w:r>
      <w:r w:rsidRPr="4D871791">
        <w:t xml:space="preserve"> </w:t>
      </w:r>
      <w:r w:rsidR="499FFA85" w:rsidRPr="4D871791">
        <w:t xml:space="preserve">Data </w:t>
      </w:r>
      <w:r w:rsidR="1FA637C8" w:rsidRPr="4D871791">
        <w:t>synthesis</w:t>
      </w:r>
    </w:p>
    <w:p w14:paraId="2550B37F" w14:textId="496791BE" w:rsidR="00431890" w:rsidRDefault="00431890" w:rsidP="0073257F">
      <w:pPr>
        <w:spacing w:line="360" w:lineRule="auto"/>
      </w:pPr>
      <w:r>
        <w:t>The extracted data were synthesised and integrated into a series of visual outputs to present a comprehensive map of exercise interventions and outcomes; data are presented alongside an accompanying narrative. Exercise intervention components were mapped against the template for intervention description and replication (</w:t>
      </w:r>
      <w:proofErr w:type="spellStart"/>
      <w:r>
        <w:t>TIDieR</w:t>
      </w:r>
      <w:proofErr w:type="spellEnd"/>
      <w:r>
        <w:t xml:space="preserve">) checklist </w:t>
      </w:r>
      <w:r>
        <w:fldChar w:fldCharType="begin"/>
      </w:r>
      <w:r>
        <w:instrText xml:space="preserve"> ADDIN ZOTERO_ITEM CSL_CITATION {"citationID":"QXgqfpTP","properties":{"formattedCitation":"[18]","plainCitation":"[18]","noteIndex":0},"citationItems":[{"id":29,"uris":["http://zotero.org/users/local/ehxbAYSD/items/JVLRBWFL"],"uri":["http://zotero.org/users/local/ehxbAYSD/items/JVLRBWFL"],"itemData":{"id":29,"type":"article-journal","container-title":"BMJ","DOI":"10.1136/bmj.g1687","ISSN":"1756-1833","issue":"mar07 3","journalAbbreviation":"BMJ","language":"en","page":"g1687-g1687","source":"DOI.org (Crossref)","title":"Better reporting of interventions: template for intervention description and replication (TIDieR) checklist and guide","title-short":"Better reporting of interventions","volume":"348","author":[{"family":"Hoffmann","given":"T. C."},{"family":"Glasziou","given":"P. P."},{"family":"Boutron","given":"I."},{"family":"Milne","given":"R."},{"family":"Perera","given":"R."},{"family":"Moher","given":"D."},{"family":"Altman","given":"D. G."},{"family":"Barbour","given":"V."},{"family":"Macdonald","given":"H."},{"family":"Johnston","given":"M."},{"family":"Lamb","given":"S. E."},{"family":"Dixon-Woods","given":"M."},{"family":"McCulloch","given":"P."},{"family":"Wyatt","given":"J. C."},{"family":"Chan","given":"A.-W."},{"family":"Michie","given":"S."}],"issued":{"date-parts":[["2014",3,7]]}}}],"schema":"https://github.com/citation-style-language/schema/raw/master/csl-citation.json"} </w:instrText>
      </w:r>
      <w:r>
        <w:fldChar w:fldCharType="separate"/>
      </w:r>
      <w:r w:rsidRPr="008643AB">
        <w:rPr>
          <w:rFonts w:ascii="Calibri" w:hAnsi="Calibri" w:cs="Calibri"/>
        </w:rPr>
        <w:t>[18]</w:t>
      </w:r>
      <w:r>
        <w:fldChar w:fldCharType="end"/>
      </w:r>
      <w:r>
        <w:t xml:space="preserve"> to identify consistency in reporting of interventions. Outcomes were recorded as domains informed by the International Scientific Tendinopathy Symposium Consensus (ICON) health related domains </w:t>
      </w:r>
      <w:r>
        <w:fldChar w:fldCharType="begin"/>
      </w:r>
      <w:r>
        <w:instrText xml:space="preserve"> ADDIN ZOTERO_ITEM CSL_CITATION {"citationID":"XLW2VaBF","properties":{"formattedCitation":"[19]","plainCitation":"[19]","noteIndex":0},"citationItems":[{"id":31,"uris":["http://zotero.org/users/local/ehxbAYSD/items/C5J9CUEH"],"uri":["http://zotero.org/users/local/ehxbAYSD/items/C5J9CUEH"],"itemData":{"id":31,"type":"article-journal","abstract":"Background\n              \n                The absence of any agreed-upon tendon health-related domains hampers advances in clinical tendinopathy research. This void means that researchers report a very wide range of outcome measures inconsistently. As a result, substantial synthesis/meta-analysis of tendon research findings is almost futile despite researchers publishing busily. We aimed to determine options for, and then define, core health-related\n                domains\n                for tendinopathy.\n              \n            \n            \n              Methods\n              \n                We conducted a Delphi study of healthcare professionals (HCP) and patients in a three-stage process. In stage 1, we extracted candidate domains from clinical trial reports and developed an online survey. Survey items took the form: ‘The ‘\n                candidate domain’\n                is important enough to be included as a core health-related domain of tendinopathy’; response options were: agree, disagree, or unsure. In stage 2, we administered the online survey and reported the findings. Stage 3 consisted of discussions of the findings of the survey at the ICON (International Scientific Tendinopathy Symposium Consensus) meeting. We set 70% participant agreement as the level required for a domain to be considered ‘core’; similarly, 70% agreement was required for a domain to be relegated to ‘not core’ (see Results next).\n              \n            \n            \n              Results\n              \n                Twenty-eight HCP (92% of whom had &gt;10 years of tendinopathy experience, 71% consulted &gt;10 cases per month) and 32 patients completed the online survey. Fifteen HCP and two patients attended the consensus meeting. Of an original set of 24 candidate domains, the ICON group deemed nine domains to be core. These were: (1) patient rating of condition, (2) participation in life activities (day to day, work, sport), (3) pain on activity/loading, (4) function, (5) psychological factors, (6) physical function capacity, (7) disability, (8) quality of life and (9) pain over a specified time. Two of these (2, 6) were an amalgamation of five candidate domains. We agreed that seven other candidate domains\n                were not\n                core domains: range of motion, pain on clinician applied test, clinical examination, palpation, drop out, sensory modality pain and pain without other specification. We were undecided on the other five candidate domains of physical activity, structure, medication use, adverse effects and economic impact.\n              \n            \n            \n              Conclusion\n              Nine core domains for tendon research should guide reporting of outcomes in clinical trials. Further research should determine the best outcome measures for each specific tendinopathy (ie, core outcome sets).","container-title":"British Journal of Sports Medicine","DOI":"10.1136/bjsports-2019-100894","ISSN":"0306-3674, 1473-0480","issue":"8","journalAbbreviation":"Br J Sports Med","language":"en","page":"444-451","source":"DOI.org (Crossref)","title":"ICON 2019—International Scientific Tendinopathy Symposium Consensus: There are nine core health-related domains for tendinopathy (CORE DOMAINS): Delphi study of healthcare professionals and patients","title-short":"ICON 2019—International Scientific Tendinopathy Symposium Consensus","volume":"54","author":[{"family":"Vicenzino","given":"Bill"},{"family":"Vos","given":"Robert-Jan","non-dropping-particle":"de"},{"family":"Alfredson","given":"Hakan"},{"family":"Bahr","given":"Roald"},{"family":"Cook","given":"Jill L"},{"family":"Coombes","given":"Brooke K"},{"family":"Fu","given":"Siu Ngor"},{"family":"Gravare Silbernagel","given":"Karin"},{"family":"Grimaldi","given":"Alison"},{"family":"Lewis","given":"Jeremy S"},{"family":"Maffulli","given":"Nicola"},{"family":"Magnusson","given":"Sp"},{"family":"Malliaras","given":"Peter"},{"family":"Mc Auliffe","given":"Sean"},{"family":"Oei","given":"Edwin H G"},{"family":"Purdam","given":"Craig"},{"family":"Rees","given":"Jonathan D"},{"family":"Rio","given":"Ebonie Kendra"},{"family":"Scott","given":"Alex"},{"family":"Speed","given":"Cathy"},{"family":"Akker-Scheek","given":"Inge","dropping-particle":"van den"},{"family":"Weir","given":"Adam"},{"family":"Wolf","given":"Jennifer Moriatis"},{"family":"Zwerver","given":"Johannes"}],"issued":{"date-parts":[["2020",4]]}}}],"schema":"https://github.com/citation-style-language/schema/raw/master/csl-citation.json"} </w:instrText>
      </w:r>
      <w:r>
        <w:fldChar w:fldCharType="separate"/>
      </w:r>
      <w:r w:rsidRPr="008643AB">
        <w:rPr>
          <w:rFonts w:ascii="Calibri" w:hAnsi="Calibri" w:cs="Calibri"/>
        </w:rPr>
        <w:t>[19]</w:t>
      </w:r>
      <w:r>
        <w:fldChar w:fldCharType="end"/>
      </w:r>
      <w:r>
        <w:t xml:space="preserve">. For completeness, we adopted the 24 candidate domains identified at stage 1 of the ICON </w:t>
      </w:r>
      <w:r w:rsidR="00B06074">
        <w:t>Delphi</w:t>
      </w:r>
      <w:r>
        <w:t xml:space="preserve"> process to fully map all domains reported in the included sources, rather than the nine core domains finally recommended by Vicenzino et al. </w:t>
      </w:r>
      <w:r>
        <w:fldChar w:fldCharType="begin"/>
      </w:r>
      <w:r>
        <w:instrText xml:space="preserve"> ADDIN ZOTERO_ITEM CSL_CITATION {"citationID":"JcTo0FvI","properties":{"formattedCitation":"[19]","plainCitation":"[19]","noteIndex":0},"citationItems":[{"id":31,"uris":["http://zotero.org/users/local/ehxbAYSD/items/C5J9CUEH"],"uri":["http://zotero.org/users/local/ehxbAYSD/items/C5J9CUEH"],"itemData":{"id":31,"type":"article-journal","abstract":"Background\n              \n                The absence of any agreed-upon tendon health-related domains hampers advances in clinical tendinopathy research. This void means that researchers report a very wide range of outcome measures inconsistently. As a result, substantial synthesis/meta-analysis of tendon research findings is almost futile despite researchers publishing busily. We aimed to determine options for, and then define, core health-related\n                domains\n                for tendinopathy.\n              \n            \n            \n              Methods\n              \n                We conducted a Delphi study of healthcare professionals (HCP) and patients in a three-stage process. In stage 1, we extracted candidate domains from clinical trial reports and developed an online survey. Survey items took the form: ‘The ‘\n                candidate domain’\n                is important enough to be included as a core health-related domain of tendinopathy’; response options were: agree, disagree, or unsure. In stage 2, we administered the online survey and reported the findings. Stage 3 consisted of discussions of the findings of the survey at the ICON (International Scientific Tendinopathy Symposium Consensus) meeting. We set 70% participant agreement as the level required for a domain to be considered ‘core’; similarly, 70% agreement was required for a domain to be relegated to ‘not core’ (see Results next).\n              \n            \n            \n              Results\n              \n                Twenty-eight HCP (92% of whom had &gt;10 years of tendinopathy experience, 71% consulted &gt;10 cases per month) and 32 patients completed the online survey. Fifteen HCP and two patients attended the consensus meeting. Of an original set of 24 candidate domains, the ICON group deemed nine domains to be core. These were: (1) patient rating of condition, (2) participation in life activities (day to day, work, sport), (3) pain on activity/loading, (4) function, (5) psychological factors, (6) physical function capacity, (7) disability, (8) quality of life and (9) pain over a specified time. Two of these (2, 6) were an amalgamation of five candidate domains. We agreed that seven other candidate domains\n                were not\n                core domains: range of motion, pain on clinician applied test, clinical examination, palpation, drop out, sensory modality pain and pain without other specification. We were undecided on the other five candidate domains of physical activity, structure, medication use, adverse effects and economic impact.\n              \n            \n            \n              Conclusion\n              Nine core domains for tendon research should guide reporting of outcomes in clinical trials. Further research should determine the best outcome measures for each specific tendinopathy (ie, core outcome sets).","container-title":"British Journal of Sports Medicine","DOI":"10.1136/bjsports-2019-100894","ISSN":"0306-3674, 1473-0480","issue":"8","journalAbbreviation":"Br J Sports Med","language":"en","page":"444-451","source":"DOI.org (Crossref)","title":"ICON 2019—International Scientific Tendinopathy Symposium Consensus: There are nine core health-related domains for tendinopathy (CORE DOMAINS): Delphi study of healthcare professionals and patients","title-short":"ICON 2019—International Scientific Tendinopathy Symposium Consensus","volume":"54","author":[{"family":"Vicenzino","given":"Bill"},{"family":"Vos","given":"Robert-Jan","non-dropping-particle":"de"},{"family":"Alfredson","given":"Hakan"},{"family":"Bahr","given":"Roald"},{"family":"Cook","given":"Jill L"},{"family":"Coombes","given":"Brooke K"},{"family":"Fu","given":"Siu Ngor"},{"family":"Gravare Silbernagel","given":"Karin"},{"family":"Grimaldi","given":"Alison"},{"family":"Lewis","given":"Jeremy S"},{"family":"Maffulli","given":"Nicola"},{"family":"Magnusson","given":"Sp"},{"family":"Malliaras","given":"Peter"},{"family":"Mc Auliffe","given":"Sean"},{"family":"Oei","given":"Edwin H G"},{"family":"Purdam","given":"Craig"},{"family":"Rees","given":"Jonathan D"},{"family":"Rio","given":"Ebonie Kendra"},{"family":"Scott","given":"Alex"},{"family":"Speed","given":"Cathy"},{"family":"Akker-Scheek","given":"Inge","dropping-particle":"van den"},{"family":"Weir","given":"Adam"},{"family":"Wolf","given":"Jennifer Moriatis"},{"family":"Zwerver","given":"Johannes"}],"issued":{"date-parts":[["2020",4]]}}}],"schema":"https://github.com/citation-style-language/schema/raw/master/csl-citation.json"} </w:instrText>
      </w:r>
      <w:r>
        <w:fldChar w:fldCharType="separate"/>
      </w:r>
      <w:r w:rsidRPr="007A636A">
        <w:rPr>
          <w:rFonts w:ascii="Calibri" w:hAnsi="Calibri" w:cs="Calibri"/>
        </w:rPr>
        <w:t>[19]</w:t>
      </w:r>
      <w:r>
        <w:fldChar w:fldCharType="end"/>
      </w:r>
      <w:r>
        <w:t xml:space="preserve">. Data were imported </w:t>
      </w:r>
      <w:r w:rsidR="00EB5D5D">
        <w:t xml:space="preserve">from MS </w:t>
      </w:r>
      <w:proofErr w:type="spellStart"/>
      <w:r w:rsidR="00EB5D5D">
        <w:t>Excel</w:t>
      </w:r>
      <w:r>
        <w:t>and</w:t>
      </w:r>
      <w:proofErr w:type="spellEnd"/>
      <w:r>
        <w:t xml:space="preserve"> analysed in the R programming environment. A citation analysis was conducted using citation, bibliographical, author and keyword information obtained from Scopus and </w:t>
      </w:r>
      <w:proofErr w:type="spellStart"/>
      <w:r>
        <w:t>Bibliometrix</w:t>
      </w:r>
      <w:proofErr w:type="spellEnd"/>
      <w:r>
        <w:t xml:space="preserve"> </w:t>
      </w:r>
      <w:r>
        <w:fldChar w:fldCharType="begin"/>
      </w:r>
      <w:r>
        <w:instrText xml:space="preserve"> ADDIN ZOTERO_ITEM CSL_CITATION {"citationID":"f5uXJO1y","properties":{"formattedCitation":"[20]","plainCitation":"[20]","noteIndex":0},"citationItems":[{"id":33,"uris":["http://zotero.org/users/local/ehxbAYSD/items/I3B8XJTU"],"uri":["http://zotero.org/users/local/ehxbAYSD/items/I3B8XJTU"],"itemData":{"id":33,"type":"article-journal","container-title":"Journal of Informetrics","DOI":"10.1016/j.joi.2017.08.007","ISSN":"17511577","issue":"4","journalAbbreviation":"Journal of Informetrics","language":"en","page":"959-975","source":"DOI.org (Crossref)","title":"bibliometrix : An R-tool for comprehensive science mapping analysis","title-short":"bibliometrix","volume":"11","author":[{"family":"Aria","given":"Massimo"},{"family":"Cuccurullo","given":"Corrado"}],"issued":{"date-parts":[["2017",11]]}}}],"schema":"https://github.com/citation-style-language/schema/raw/master/csl-citation.json"} </w:instrText>
      </w:r>
      <w:r>
        <w:fldChar w:fldCharType="separate"/>
      </w:r>
      <w:r w:rsidRPr="000730F7">
        <w:rPr>
          <w:rFonts w:ascii="Calibri" w:hAnsi="Calibri" w:cs="Calibri"/>
        </w:rPr>
        <w:t>[20]</w:t>
      </w:r>
      <w:r>
        <w:fldChar w:fldCharType="end"/>
      </w:r>
      <w:r>
        <w:t xml:space="preserve">. </w:t>
      </w:r>
      <w:r>
        <w:br w:type="page"/>
      </w:r>
    </w:p>
    <w:p w14:paraId="35724B83" w14:textId="10A0234B" w:rsidR="00D864BD" w:rsidRPr="00D864BD" w:rsidRDefault="003059FF" w:rsidP="0073257F">
      <w:pPr>
        <w:pStyle w:val="Heading1"/>
      </w:pPr>
      <w:r>
        <w:lastRenderedPageBreak/>
        <w:t>RESULTS</w:t>
      </w:r>
    </w:p>
    <w:p w14:paraId="34D0B009" w14:textId="032BDFED" w:rsidR="009F3EAD" w:rsidRDefault="00431890" w:rsidP="0073257F">
      <w:pPr>
        <w:spacing w:line="360" w:lineRule="auto"/>
      </w:pPr>
      <w:r>
        <w:t>The search identifie</w:t>
      </w:r>
      <w:r w:rsidR="00E210BA">
        <w:t>d 22,550 sources, of which 1,994</w:t>
      </w:r>
      <w:r>
        <w:t xml:space="preserve"> were obtained in full text following deduplication and title and abs</w:t>
      </w:r>
      <w:r w:rsidR="00E210BA">
        <w:t>tract screening. A further 1,439</w:t>
      </w:r>
      <w:r>
        <w:t xml:space="preserve"> sources were excluded following full-text screening, leaving 548 studies from a total of 555 total sources as seven studies were reported in more than one source.  The main reasons for exclusion at full-text screening wer</w:t>
      </w:r>
      <w:r w:rsidR="00A16218">
        <w:t>e ineligible study design (n=600</w:t>
      </w:r>
      <w:r w:rsidR="00E210BA">
        <w:t>, 42</w:t>
      </w:r>
      <w:r>
        <w:t xml:space="preserve">%), duplicate study (n=351, 24%), ineligible population (n=150, 10%), ineligible concept (n=101, 7%) or not originating from a developed country (n=99, 7%) (see SF2). The study selection process is presented in Figure 1 and a reference list of included sources is presented in </w:t>
      </w:r>
      <w:r w:rsidR="008357C1">
        <w:t>S</w:t>
      </w:r>
      <w:r>
        <w:t xml:space="preserve">upplementary file SF3. </w:t>
      </w:r>
    </w:p>
    <w:p w14:paraId="4ECA10CB" w14:textId="14EABD51" w:rsidR="009F3EAD" w:rsidRDefault="009F3EAD" w:rsidP="0073257F">
      <w:pPr>
        <w:spacing w:line="360" w:lineRule="auto"/>
      </w:pPr>
      <w:r>
        <w:rPr>
          <w:noProof/>
          <w:lang w:eastAsia="en-GB"/>
        </w:rPr>
        <w:drawing>
          <wp:inline distT="0" distB="0" distL="0" distR="0" wp14:anchorId="6D9FEF4F" wp14:editId="2E709B1E">
            <wp:extent cx="3895725" cy="349313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5725" cy="3493135"/>
                    </a:xfrm>
                    <a:prstGeom prst="rect">
                      <a:avLst/>
                    </a:prstGeom>
                    <a:noFill/>
                  </pic:spPr>
                </pic:pic>
              </a:graphicData>
            </a:graphic>
          </wp:inline>
        </w:drawing>
      </w:r>
    </w:p>
    <w:p w14:paraId="0C6D854D" w14:textId="645800AB" w:rsidR="009F3EAD" w:rsidRDefault="009F3EAD" w:rsidP="0073257F">
      <w:pPr>
        <w:spacing w:line="360" w:lineRule="auto"/>
      </w:pPr>
      <w:r w:rsidRPr="009F3EAD">
        <w:rPr>
          <w:b/>
        </w:rPr>
        <w:t>Figure 1:</w:t>
      </w:r>
      <w:r w:rsidRPr="009F3EAD">
        <w:t xml:space="preserve"> Study selection process – PRI</w:t>
      </w:r>
      <w:r>
        <w:t>SMA flow chart (37</w:t>
      </w:r>
      <w:r w:rsidRPr="009F3EAD">
        <w:t>)</w:t>
      </w:r>
    </w:p>
    <w:p w14:paraId="6A77A8B3" w14:textId="37E0C886" w:rsidR="009F3EAD" w:rsidRDefault="00431890" w:rsidP="0073257F">
      <w:pPr>
        <w:spacing w:line="360" w:lineRule="auto"/>
      </w:pPr>
      <w:r>
        <w:t xml:space="preserve">The 555 included sources comprised 119 (21%) systematic reviews and 436 (79%) primary studies. A summary of study characteristics of the included studies is presented in an interactive and searchable table (Supplementary file SF4). Assessment of the </w:t>
      </w:r>
      <w:r w:rsidR="00AC1463">
        <w:t xml:space="preserve">included studies </w:t>
      </w:r>
      <w:r>
        <w:t>publication dates identified a consistent increase in the volume of research from 1998, reaching a peak of 50 studies published in 2019 and an average of 37 studies published each year between 2010 -2019 (Figure 2).</w:t>
      </w:r>
    </w:p>
    <w:p w14:paraId="73A1B821" w14:textId="7FF8474F" w:rsidR="00C81DB7" w:rsidRDefault="00C81DB7" w:rsidP="00C81DB7">
      <w:pPr>
        <w:spacing w:line="360" w:lineRule="auto"/>
      </w:pPr>
    </w:p>
    <w:p w14:paraId="196FDA4D" w14:textId="58D01391" w:rsidR="00C81DB7" w:rsidRDefault="00C81DB7" w:rsidP="00740189">
      <w:pPr>
        <w:keepNext/>
        <w:spacing w:line="360" w:lineRule="auto"/>
      </w:pPr>
    </w:p>
    <w:p w14:paraId="057B2470" w14:textId="60319987" w:rsidR="00882B75" w:rsidRDefault="00882B75" w:rsidP="00740189">
      <w:pPr>
        <w:keepNext/>
        <w:spacing w:line="360" w:lineRule="auto"/>
      </w:pPr>
      <w:r>
        <w:rPr>
          <w:noProof/>
        </w:rPr>
        <w:drawing>
          <wp:inline distT="0" distB="0" distL="0" distR="0" wp14:anchorId="69DBBCC3" wp14:editId="7F25663C">
            <wp:extent cx="5731510" cy="3336925"/>
            <wp:effectExtent l="0" t="0" r="2540"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3336925"/>
                    </a:xfrm>
                    <a:prstGeom prst="rect">
                      <a:avLst/>
                    </a:prstGeom>
                  </pic:spPr>
                </pic:pic>
              </a:graphicData>
            </a:graphic>
          </wp:inline>
        </w:drawing>
      </w:r>
    </w:p>
    <w:p w14:paraId="1E21B177" w14:textId="77777777" w:rsidR="00C81DB7" w:rsidRDefault="00C81DB7" w:rsidP="00C81DB7">
      <w:pPr>
        <w:spacing w:line="360" w:lineRule="auto"/>
      </w:pPr>
      <w:r w:rsidRPr="001859CB">
        <w:rPr>
          <w:b/>
          <w:bCs/>
        </w:rPr>
        <w:t>Figure 2:</w:t>
      </w:r>
      <w:r>
        <w:t xml:space="preserve"> Number of included studies published over time and their study design composition.</w:t>
      </w:r>
    </w:p>
    <w:p w14:paraId="5ADA5DB9" w14:textId="79D02DD3" w:rsidR="00995236" w:rsidRDefault="5BC24FD9" w:rsidP="0073257F">
      <w:pPr>
        <w:pStyle w:val="Heading2"/>
      </w:pPr>
      <w:r w:rsidRPr="4D871791">
        <w:t>3.1 Systematic reviews:</w:t>
      </w:r>
    </w:p>
    <w:p w14:paraId="0B1C44F9" w14:textId="07D22BDC" w:rsidR="00D148C2" w:rsidRDefault="00D148C2" w:rsidP="0073257F">
      <w:pPr>
        <w:spacing w:line="360" w:lineRule="auto"/>
      </w:pPr>
      <w:r>
        <w:t>A total of 119 systematic reviews were included, comprising 72 (61%) systematic reviews without meta-analysis, 45 (37%) systematic reviews with meta-analysis, and two (2%) umbrella reviews. The number of studies included in the systematic reviews ranged from two to 84 with a median of 12 (IQR: 8-19). A total of 43 (36%) systematic reviews synthesised findings from studies solely investigating rotator cuff-related shoulder pain (RCRSP). The next most common tendinopathy types investigated were the Achilles (26; 22%), lateral elbow (14; 12%) and patellar (14; 12%). Five (4%) systematic reviews synthesised information related to both Achilles and Patellar tendinopathies, three (3%) focussed on gluteal or posterior tibial tendinopathies, two (2%) on the hamstring or medial elbow, and one (1%) on the quadriceps. Most systematic reviews were conducted by research teams located primarily in four countries; UK (28; 23%), Australia (17; 14%), USA (14; 12%) and Netherlands (13; 11%). Exercise was the primary focus in 46 (38%) included systematic reviews, a secondary focus (e.g., control) in 49 (42%), and a neutral focus (i.e., equivalence between exercise and other interventions) in 24 (20%). Exercise was more commonly the primary focus of systematic reviews investigating Achilles (46%) and patellar (43%) tendinopathies, compared with RCRSP (34%) and lateral elbow tendinopathy (29%).</w:t>
      </w:r>
    </w:p>
    <w:p w14:paraId="49BAFAD9" w14:textId="5C5ABD54" w:rsidR="00DA50A1" w:rsidRDefault="004B610B" w:rsidP="0073257F">
      <w:pPr>
        <w:pStyle w:val="Heading2"/>
        <w:keepNext/>
      </w:pPr>
      <w:r w:rsidRPr="220781C4">
        <w:lastRenderedPageBreak/>
        <w:t>3.</w:t>
      </w:r>
      <w:r w:rsidR="4C7C5050" w:rsidRPr="220781C4">
        <w:t>2</w:t>
      </w:r>
      <w:r w:rsidRPr="220781C4">
        <w:t xml:space="preserve"> </w:t>
      </w:r>
      <w:r w:rsidR="00B02317" w:rsidRPr="220781C4">
        <w:t>Primary s</w:t>
      </w:r>
      <w:r w:rsidRPr="220781C4">
        <w:t>tudies</w:t>
      </w:r>
      <w:r w:rsidR="00EF7452">
        <w:t xml:space="preserve">: </w:t>
      </w:r>
    </w:p>
    <w:p w14:paraId="0CBB819F" w14:textId="33FC542F" w:rsidR="004B610B" w:rsidRPr="004B610B" w:rsidRDefault="004B610B" w:rsidP="0073257F">
      <w:pPr>
        <w:keepNext/>
        <w:spacing w:line="360" w:lineRule="auto"/>
        <w:rPr>
          <w:i/>
        </w:rPr>
      </w:pPr>
      <w:r>
        <w:rPr>
          <w:i/>
        </w:rPr>
        <w:t>Study demographics</w:t>
      </w:r>
    </w:p>
    <w:p w14:paraId="63899A79" w14:textId="67C031F1" w:rsidR="00D148C2" w:rsidRDefault="00D148C2" w:rsidP="0073257F">
      <w:pPr>
        <w:spacing w:line="360" w:lineRule="auto"/>
      </w:pPr>
      <w:r>
        <w:t>The predominant design for the 436 included primary studies was randomised controlled trial (RCT) (236; 54%), followed by quasi-experimental (81; 19%), observational (75; 17%), pilot (35; 8%) and qualitative (9; 2%). The studies comprised information obtained from 25,490 participants (male = 10,463; female = 10,734), with study mean age ranging from 15-65 years. Most studies were conducted in a mixed setting (116; 27%), with clinic (91; 21%) and home setti</w:t>
      </w:r>
      <w:r w:rsidR="00AC1463">
        <w:t>ngs (61; 14%) reported</w:t>
      </w:r>
      <w:r>
        <w:t xml:space="preserve">. A total of 31 countries were identified with most studies conducted in four countries including Turkey (60; 14%), USA (48; 11%), UK (43; 10%) and Australia (32; 7%). A range of additional </w:t>
      </w:r>
      <w:r w:rsidR="00AC1463">
        <w:t xml:space="preserve">participant </w:t>
      </w:r>
      <w:r>
        <w:t xml:space="preserve">characteristics were recorded across </w:t>
      </w:r>
      <w:r w:rsidR="0041746A">
        <w:t xml:space="preserve">362 </w:t>
      </w:r>
      <w:r>
        <w:t xml:space="preserve">studies </w:t>
      </w:r>
      <w:r w:rsidR="0041746A">
        <w:t xml:space="preserve">(83%) </w:t>
      </w:r>
      <w:r>
        <w:t>with the most frequently reported inc</w:t>
      </w:r>
      <w:r w:rsidR="0041746A">
        <w:t>luding symptom duration (253; 70</w:t>
      </w:r>
      <w:r>
        <w:t xml:space="preserve">%), weight (115; </w:t>
      </w:r>
      <w:r w:rsidR="0041746A">
        <w:t>32%), stature (113; 31</w:t>
      </w:r>
      <w:r>
        <w:t>%), affected sid</w:t>
      </w:r>
      <w:r w:rsidR="0041746A">
        <w:t>e (including bilateral) (105; 29</w:t>
      </w:r>
      <w:r>
        <w:t>%), BMI (102; 2</w:t>
      </w:r>
      <w:r w:rsidR="0041746A">
        <w:t>8%), hand/limb dominance (86; 24%), activity level (82; 23%), employment status (50; 14%), previous treatment (34; 9</w:t>
      </w:r>
      <w:r>
        <w:t>%), number of activity sessions (hours of sport/week, mil</w:t>
      </w:r>
      <w:r w:rsidR="0041746A">
        <w:t>eage/week, training/week: (28; 7%), education level (22; 6</w:t>
      </w:r>
      <w:r>
        <w:t xml:space="preserve">%), </w:t>
      </w:r>
      <w:r w:rsidR="0041746A">
        <w:t>co-morbidities (21, 6%), smoking status (18; 5</w:t>
      </w:r>
      <w:r>
        <w:t>%), analgesic/NSAID use (16; 4%), mech</w:t>
      </w:r>
      <w:r w:rsidR="0041746A">
        <w:t>anism of injury/causation (15; 4</w:t>
      </w:r>
      <w:r>
        <w:t xml:space="preserve">%), </w:t>
      </w:r>
      <w:r w:rsidR="0041746A">
        <w:t>previous history/episodes (14; 4</w:t>
      </w:r>
      <w:r>
        <w:t xml:space="preserve">%), interference </w:t>
      </w:r>
      <w:r w:rsidR="0041746A">
        <w:t>with sports participation (13; 4%), location of symptoms (13; 4%), manual work (11; 3</w:t>
      </w:r>
      <w:r>
        <w:t>%), and ethnicity (9; 2%).  Of the nine studies reporting ethnicity, European/Caucasian participants were included in them all, with African American (4 studies), Hispanic/Latino (3 studies), Asian (1 study) and Māori (1 study) also r</w:t>
      </w:r>
      <w:r w:rsidR="0041746A">
        <w:t>eported. Sixty studies (17</w:t>
      </w:r>
      <w:r>
        <w:t>%) did not report any additional characteristics.</w:t>
      </w:r>
    </w:p>
    <w:p w14:paraId="30F7F7C3" w14:textId="4DC8E671" w:rsidR="00D148C2" w:rsidRDefault="00D148C2" w:rsidP="0073257F">
      <w:pPr>
        <w:spacing w:line="360" w:lineRule="auto"/>
      </w:pPr>
      <w:r>
        <w:t xml:space="preserve">Four tendinopathy types accounted for over 90% of the research with 167 (38%) studies focusing on RCRSP, 103 (23%) Achilles, 82 (19%) lateral elbow, and 53 (12%) patellar tendons. Less frequently investigated tendinopathies included gluteal, tibialis posterior and hamstring which were the focus of 9 (2%), 7 (2%) and 3 (1%) studies, respectively. The study design composition for the four most common tendinopathy types is illustrated in figure 3. Experimental studies were most common with few, or no qualitative studies conducted on each of the common tendinopathies. </w:t>
      </w:r>
    </w:p>
    <w:p w14:paraId="2F3D48E1" w14:textId="40D27C1B" w:rsidR="00C81DB7" w:rsidRDefault="00C81DB7" w:rsidP="0073257F">
      <w:pPr>
        <w:spacing w:line="360" w:lineRule="auto"/>
      </w:pPr>
    </w:p>
    <w:p w14:paraId="4370C494" w14:textId="212B1A0B" w:rsidR="0038201F" w:rsidRDefault="0038201F" w:rsidP="0073257F">
      <w:pPr>
        <w:spacing w:line="360" w:lineRule="auto"/>
      </w:pPr>
      <w:r>
        <w:rPr>
          <w:noProof/>
        </w:rPr>
        <w:lastRenderedPageBreak/>
        <w:drawing>
          <wp:inline distT="0" distB="0" distL="0" distR="0" wp14:anchorId="0D92D37E" wp14:editId="58048796">
            <wp:extent cx="5731510" cy="3336925"/>
            <wp:effectExtent l="0" t="0" r="254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3336925"/>
                    </a:xfrm>
                    <a:prstGeom prst="rect">
                      <a:avLst/>
                    </a:prstGeom>
                  </pic:spPr>
                </pic:pic>
              </a:graphicData>
            </a:graphic>
          </wp:inline>
        </w:drawing>
      </w:r>
    </w:p>
    <w:p w14:paraId="07D5594A" w14:textId="77777777" w:rsidR="00C81DB7" w:rsidRDefault="00C81DB7" w:rsidP="00C81DB7">
      <w:pPr>
        <w:spacing w:line="360" w:lineRule="auto"/>
      </w:pPr>
      <w:r w:rsidRPr="001859CB">
        <w:rPr>
          <w:b/>
          <w:bCs/>
        </w:rPr>
        <w:t>Figure 3:</w:t>
      </w:r>
      <w:r>
        <w:t xml:space="preserve"> Study designs across main tendinopathy types.</w:t>
      </w:r>
    </w:p>
    <w:p w14:paraId="0D05B7F8" w14:textId="0257B298" w:rsidR="00995236" w:rsidRPr="00995236" w:rsidRDefault="00995236" w:rsidP="0073257F">
      <w:pPr>
        <w:spacing w:line="360" w:lineRule="auto"/>
        <w:rPr>
          <w:i/>
          <w:iCs/>
        </w:rPr>
      </w:pPr>
      <w:r w:rsidRPr="4D871791">
        <w:rPr>
          <w:i/>
          <w:iCs/>
        </w:rPr>
        <w:t>Exercise</w:t>
      </w:r>
      <w:r w:rsidR="73ABEFD5" w:rsidRPr="4D871791">
        <w:rPr>
          <w:i/>
          <w:iCs/>
        </w:rPr>
        <w:t xml:space="preserve"> </w:t>
      </w:r>
      <w:r w:rsidR="005E6DE3">
        <w:rPr>
          <w:i/>
          <w:iCs/>
        </w:rPr>
        <w:t>interventions</w:t>
      </w:r>
      <w:r w:rsidR="005E6DE3" w:rsidRPr="4D871791">
        <w:rPr>
          <w:i/>
          <w:iCs/>
        </w:rPr>
        <w:t xml:space="preserve"> </w:t>
      </w:r>
      <w:r w:rsidR="73ABEFD5" w:rsidRPr="4D871791">
        <w:rPr>
          <w:i/>
          <w:iCs/>
        </w:rPr>
        <w:t>investigated</w:t>
      </w:r>
    </w:p>
    <w:p w14:paraId="182D3365" w14:textId="77777777" w:rsidR="001F3048" w:rsidRDefault="001F3048" w:rsidP="0073257F">
      <w:pPr>
        <w:spacing w:line="360" w:lineRule="auto"/>
      </w:pPr>
      <w:r>
        <w:t>Exercise interventions were reported as the primary focus of 161 (37%) studies, the secondary focus of 188 (43%) studies, and a neutral focus in 87 (20%) studies. Components of the different exercise interventions were categorised as strengthening, flexibility, aerobic, proprioception or motor control and determined by the authors stated purpose. A mapping of the different exercise intervention components and subcomponents across different tendinopathy types is presented in table 1. The most common exercise type reported across tendinopathies was strengthening (84%), followed by flexibility (48%). All patellar tendinopathy studies reported the use of strengthening exercise, compared to 77 to 93% of studies for other tendinopathies. While eccentric was the most common strengthening exercise reported for Achilles (89%), patellar (85%) and lateral elbow tendinopathy (44%), RCRSP studies reported isometric (21%) followed by a combination of eccentric and concentric (19%) as most common. For flexibility exercise, this was mostly reported for upper limb tendinopathies (RCRSP 62%; lateral elbow 65%) compared to lower limb (patellar 25%; Achilles 20%). Flexibility exercise was poorly described across all tendinopathies with 17% of studies not providing sufficient detail to categorise the type of flexibility exercise included. Dynamic range of motion was the most common form of flexibility exercise used for RCRSP (38%), with traditional stretching (such as static sustained) most common for all other tendinopathies (6 to 37%). Patellar tendinopathy studies reported greater use of aerobic exercise (17%) compared to other tendinopathies (0 to 13%). Motor control exercise was mainly reported in RCRSP studies (40%).</w:t>
      </w:r>
    </w:p>
    <w:p w14:paraId="1DCA4ADF" w14:textId="77777777" w:rsidR="00995236" w:rsidRPr="00995236" w:rsidRDefault="00995236" w:rsidP="0073257F">
      <w:pPr>
        <w:spacing w:line="360" w:lineRule="auto"/>
        <w:rPr>
          <w:bCs/>
          <w:iCs/>
        </w:rPr>
      </w:pPr>
      <w:r w:rsidRPr="00A34D33">
        <w:rPr>
          <w:b/>
          <w:iCs/>
        </w:rPr>
        <w:lastRenderedPageBreak/>
        <w:t>Table 1:</w:t>
      </w:r>
      <w:r w:rsidRPr="00995236">
        <w:rPr>
          <w:bCs/>
          <w:iCs/>
        </w:rPr>
        <w:t xml:space="preserve"> Exercise types reported across tendinopathies</w:t>
      </w:r>
    </w:p>
    <w:tbl>
      <w:tblPr>
        <w:tblStyle w:val="TableGrid"/>
        <w:tblW w:w="0" w:type="auto"/>
        <w:tblLook w:val="04A0" w:firstRow="1" w:lastRow="0" w:firstColumn="1" w:lastColumn="0" w:noHBand="0" w:noVBand="1"/>
      </w:tblPr>
      <w:tblGrid>
        <w:gridCol w:w="1586"/>
        <w:gridCol w:w="1236"/>
        <w:gridCol w:w="1239"/>
        <w:gridCol w:w="1239"/>
        <w:gridCol w:w="1238"/>
        <w:gridCol w:w="1239"/>
        <w:gridCol w:w="1239"/>
      </w:tblGrid>
      <w:tr w:rsidR="007B076A" w14:paraId="00293971" w14:textId="5CA2F0BB" w:rsidTr="46C78BCB">
        <w:tc>
          <w:tcPr>
            <w:tcW w:w="1586" w:type="dxa"/>
          </w:tcPr>
          <w:p w14:paraId="7DC439FF" w14:textId="27E738FB" w:rsidR="007B076A" w:rsidRDefault="007B076A" w:rsidP="0052634C">
            <w:pPr>
              <w:spacing w:line="276" w:lineRule="auto"/>
              <w:rPr>
                <w:iCs/>
              </w:rPr>
            </w:pPr>
          </w:p>
        </w:tc>
        <w:tc>
          <w:tcPr>
            <w:tcW w:w="1236" w:type="dxa"/>
          </w:tcPr>
          <w:p w14:paraId="6BF1EE62" w14:textId="4236B3E7" w:rsidR="007B076A" w:rsidRDefault="2DE8602F" w:rsidP="0052634C">
            <w:pPr>
              <w:spacing w:line="276" w:lineRule="auto"/>
            </w:pPr>
            <w:r>
              <w:t>All (n = 4</w:t>
            </w:r>
            <w:r w:rsidR="2DB8F88A">
              <w:t>36</w:t>
            </w:r>
            <w:r>
              <w:t>)</w:t>
            </w:r>
          </w:p>
        </w:tc>
        <w:tc>
          <w:tcPr>
            <w:tcW w:w="1239" w:type="dxa"/>
          </w:tcPr>
          <w:p w14:paraId="481A5E02" w14:textId="77777777" w:rsidR="007B076A" w:rsidRDefault="007B076A" w:rsidP="0052634C">
            <w:pPr>
              <w:spacing w:line="276" w:lineRule="auto"/>
            </w:pPr>
            <w:r>
              <w:t>Rotator cuff</w:t>
            </w:r>
          </w:p>
          <w:p w14:paraId="3B532475" w14:textId="24B34606" w:rsidR="007B076A" w:rsidRDefault="007B076A" w:rsidP="0052634C">
            <w:pPr>
              <w:spacing w:line="276" w:lineRule="auto"/>
            </w:pPr>
            <w:r>
              <w:t>(n=16</w:t>
            </w:r>
            <w:r w:rsidR="1EAB157B">
              <w:t>5</w:t>
            </w:r>
            <w:r>
              <w:t>)</w:t>
            </w:r>
          </w:p>
        </w:tc>
        <w:tc>
          <w:tcPr>
            <w:tcW w:w="1239" w:type="dxa"/>
          </w:tcPr>
          <w:p w14:paraId="44F0074A" w14:textId="77777777" w:rsidR="007B076A" w:rsidRDefault="007B076A" w:rsidP="0052634C">
            <w:pPr>
              <w:spacing w:line="276" w:lineRule="auto"/>
            </w:pPr>
            <w:r>
              <w:t>Achilles</w:t>
            </w:r>
          </w:p>
          <w:p w14:paraId="7FAA63E8" w14:textId="13C308D8" w:rsidR="007B076A" w:rsidRDefault="007B076A" w:rsidP="0052634C">
            <w:pPr>
              <w:spacing w:line="276" w:lineRule="auto"/>
            </w:pPr>
            <w:r>
              <w:t>(n=</w:t>
            </w:r>
            <w:r w:rsidR="656B92C7">
              <w:t>99</w:t>
            </w:r>
            <w:r>
              <w:t>)</w:t>
            </w:r>
          </w:p>
        </w:tc>
        <w:tc>
          <w:tcPr>
            <w:tcW w:w="1238" w:type="dxa"/>
          </w:tcPr>
          <w:p w14:paraId="39BC9774" w14:textId="77777777" w:rsidR="007B076A" w:rsidRDefault="007B076A" w:rsidP="0052634C">
            <w:pPr>
              <w:spacing w:line="276" w:lineRule="auto"/>
              <w:rPr>
                <w:iCs/>
              </w:rPr>
            </w:pPr>
            <w:r>
              <w:rPr>
                <w:iCs/>
              </w:rPr>
              <w:t>Lateral Elbow</w:t>
            </w:r>
          </w:p>
          <w:p w14:paraId="46C7BF74" w14:textId="09E5952A" w:rsidR="007B076A" w:rsidRDefault="007B076A" w:rsidP="0052634C">
            <w:pPr>
              <w:spacing w:line="276" w:lineRule="auto"/>
            </w:pPr>
            <w:r>
              <w:t>(n=8</w:t>
            </w:r>
            <w:r w:rsidR="379319E2">
              <w:t>1</w:t>
            </w:r>
            <w:r>
              <w:t>)</w:t>
            </w:r>
          </w:p>
        </w:tc>
        <w:tc>
          <w:tcPr>
            <w:tcW w:w="1239" w:type="dxa"/>
          </w:tcPr>
          <w:p w14:paraId="32A88106" w14:textId="77777777" w:rsidR="007B076A" w:rsidRDefault="007B076A" w:rsidP="0052634C">
            <w:pPr>
              <w:spacing w:line="276" w:lineRule="auto"/>
              <w:rPr>
                <w:iCs/>
              </w:rPr>
            </w:pPr>
            <w:r>
              <w:rPr>
                <w:iCs/>
              </w:rPr>
              <w:t>Patellar</w:t>
            </w:r>
          </w:p>
          <w:p w14:paraId="7808AEDD" w14:textId="67ABBB33" w:rsidR="007B076A" w:rsidRDefault="007B076A" w:rsidP="0052634C">
            <w:pPr>
              <w:spacing w:line="276" w:lineRule="auto"/>
              <w:rPr>
                <w:iCs/>
              </w:rPr>
            </w:pPr>
            <w:r>
              <w:rPr>
                <w:iCs/>
              </w:rPr>
              <w:t>(n=53)</w:t>
            </w:r>
          </w:p>
        </w:tc>
        <w:tc>
          <w:tcPr>
            <w:tcW w:w="1239" w:type="dxa"/>
          </w:tcPr>
          <w:p w14:paraId="2F1221D0" w14:textId="77777777" w:rsidR="007B076A" w:rsidRDefault="007B076A" w:rsidP="0052634C">
            <w:pPr>
              <w:spacing w:line="276" w:lineRule="auto"/>
              <w:rPr>
                <w:iCs/>
              </w:rPr>
            </w:pPr>
            <w:r>
              <w:rPr>
                <w:iCs/>
              </w:rPr>
              <w:t>Other</w:t>
            </w:r>
          </w:p>
          <w:p w14:paraId="71FA1CCF" w14:textId="5FA19FA4" w:rsidR="006A0100" w:rsidRDefault="565EBC05" w:rsidP="0052634C">
            <w:pPr>
              <w:spacing w:line="276" w:lineRule="auto"/>
            </w:pPr>
            <w:r>
              <w:t>(n=38)</w:t>
            </w:r>
          </w:p>
        </w:tc>
      </w:tr>
      <w:tr w:rsidR="007B076A" w14:paraId="7AE32CC6" w14:textId="7272BDBF" w:rsidTr="46C78BCB">
        <w:tc>
          <w:tcPr>
            <w:tcW w:w="1586" w:type="dxa"/>
          </w:tcPr>
          <w:p w14:paraId="488D5FEB" w14:textId="568270AA" w:rsidR="007B076A" w:rsidRPr="00CD2082" w:rsidRDefault="007B076A" w:rsidP="0052634C">
            <w:pPr>
              <w:spacing w:line="276" w:lineRule="auto"/>
              <w:rPr>
                <w:b/>
                <w:bCs/>
                <w:iCs/>
              </w:rPr>
            </w:pPr>
            <w:r w:rsidRPr="00CD2082">
              <w:rPr>
                <w:b/>
                <w:bCs/>
                <w:iCs/>
              </w:rPr>
              <w:t>Strengthening</w:t>
            </w:r>
          </w:p>
        </w:tc>
        <w:tc>
          <w:tcPr>
            <w:tcW w:w="1236" w:type="dxa"/>
          </w:tcPr>
          <w:p w14:paraId="72A5993B" w14:textId="657D9359" w:rsidR="007B076A" w:rsidRDefault="007B076A" w:rsidP="0052634C">
            <w:pPr>
              <w:spacing w:line="276" w:lineRule="auto"/>
            </w:pPr>
            <w:r>
              <w:t>3</w:t>
            </w:r>
            <w:r w:rsidR="112D0D8C">
              <w:t>67</w:t>
            </w:r>
            <w:r>
              <w:t xml:space="preserve"> (84%)</w:t>
            </w:r>
          </w:p>
        </w:tc>
        <w:tc>
          <w:tcPr>
            <w:tcW w:w="1239" w:type="dxa"/>
          </w:tcPr>
          <w:p w14:paraId="55F45302" w14:textId="17C75404" w:rsidR="007B076A" w:rsidRDefault="007B076A" w:rsidP="0052634C">
            <w:pPr>
              <w:spacing w:line="276" w:lineRule="auto"/>
            </w:pPr>
            <w:r>
              <w:t>12</w:t>
            </w:r>
            <w:r w:rsidR="4670A11F">
              <w:t>8</w:t>
            </w:r>
            <w:r>
              <w:t xml:space="preserve"> (7</w:t>
            </w:r>
            <w:r w:rsidR="5CFB81E3">
              <w:t>8</w:t>
            </w:r>
            <w:r>
              <w:t>%)</w:t>
            </w:r>
          </w:p>
        </w:tc>
        <w:tc>
          <w:tcPr>
            <w:tcW w:w="1239" w:type="dxa"/>
          </w:tcPr>
          <w:p w14:paraId="19216732" w14:textId="2AD0BF58" w:rsidR="007B076A" w:rsidRDefault="007B076A" w:rsidP="0052634C">
            <w:pPr>
              <w:spacing w:line="276" w:lineRule="auto"/>
            </w:pPr>
            <w:r>
              <w:t>9</w:t>
            </w:r>
            <w:r w:rsidR="6F188515">
              <w:t>2</w:t>
            </w:r>
            <w:r>
              <w:t xml:space="preserve"> (93%)</w:t>
            </w:r>
          </w:p>
        </w:tc>
        <w:tc>
          <w:tcPr>
            <w:tcW w:w="1238" w:type="dxa"/>
          </w:tcPr>
          <w:p w14:paraId="3180991F" w14:textId="346ABD56" w:rsidR="007B076A" w:rsidRDefault="007B076A" w:rsidP="0052634C">
            <w:pPr>
              <w:spacing w:line="276" w:lineRule="auto"/>
            </w:pPr>
            <w:r>
              <w:t>6</w:t>
            </w:r>
            <w:r w:rsidR="42558A0A">
              <w:t>2</w:t>
            </w:r>
            <w:r>
              <w:t xml:space="preserve"> (77%)</w:t>
            </w:r>
          </w:p>
        </w:tc>
        <w:tc>
          <w:tcPr>
            <w:tcW w:w="1239" w:type="dxa"/>
          </w:tcPr>
          <w:p w14:paraId="2D7EF754" w14:textId="167B2915" w:rsidR="007B076A" w:rsidRDefault="007B076A" w:rsidP="0052634C">
            <w:pPr>
              <w:spacing w:line="276" w:lineRule="auto"/>
              <w:rPr>
                <w:iCs/>
              </w:rPr>
            </w:pPr>
            <w:r>
              <w:rPr>
                <w:iCs/>
              </w:rPr>
              <w:t>53 (100%)</w:t>
            </w:r>
          </w:p>
        </w:tc>
        <w:tc>
          <w:tcPr>
            <w:tcW w:w="1239" w:type="dxa"/>
          </w:tcPr>
          <w:p w14:paraId="36E63B8D" w14:textId="0581B898" w:rsidR="007B076A" w:rsidRDefault="00A540AE" w:rsidP="0052634C">
            <w:pPr>
              <w:spacing w:line="276" w:lineRule="auto"/>
            </w:pPr>
            <w:r>
              <w:t>3</w:t>
            </w:r>
            <w:r w:rsidR="3D2261B3">
              <w:t>2</w:t>
            </w:r>
            <w:r>
              <w:t xml:space="preserve"> (</w:t>
            </w:r>
            <w:r w:rsidR="4AE4EE5B">
              <w:t>84</w:t>
            </w:r>
            <w:r w:rsidR="00EF0CAE">
              <w:t>%)</w:t>
            </w:r>
          </w:p>
        </w:tc>
      </w:tr>
      <w:tr w:rsidR="007B076A" w14:paraId="2AA4C0B0" w14:textId="6A3F8528" w:rsidTr="46C78BCB">
        <w:tc>
          <w:tcPr>
            <w:tcW w:w="1586" w:type="dxa"/>
          </w:tcPr>
          <w:p w14:paraId="7839B145" w14:textId="715DFB3C" w:rsidR="007B076A" w:rsidRDefault="007B076A" w:rsidP="0052634C">
            <w:pPr>
              <w:spacing w:line="276" w:lineRule="auto"/>
              <w:rPr>
                <w:iCs/>
              </w:rPr>
            </w:pPr>
            <w:r>
              <w:rPr>
                <w:iCs/>
              </w:rPr>
              <w:t>Eccentric</w:t>
            </w:r>
          </w:p>
        </w:tc>
        <w:tc>
          <w:tcPr>
            <w:tcW w:w="1236" w:type="dxa"/>
          </w:tcPr>
          <w:p w14:paraId="5852A252" w14:textId="111E46FA" w:rsidR="007B076A" w:rsidRDefault="00750D6A" w:rsidP="0052634C">
            <w:pPr>
              <w:spacing w:line="276" w:lineRule="auto"/>
              <w:rPr>
                <w:iCs/>
              </w:rPr>
            </w:pPr>
            <w:r>
              <w:rPr>
                <w:iCs/>
              </w:rPr>
              <w:t>205</w:t>
            </w:r>
            <w:r w:rsidR="007B076A">
              <w:rPr>
                <w:iCs/>
              </w:rPr>
              <w:t xml:space="preserve"> (47%</w:t>
            </w:r>
            <w:r>
              <w:rPr>
                <w:iCs/>
              </w:rPr>
              <w:t>;56%</w:t>
            </w:r>
            <w:r w:rsidR="007B076A">
              <w:rPr>
                <w:iCs/>
              </w:rPr>
              <w:t>)</w:t>
            </w:r>
          </w:p>
        </w:tc>
        <w:tc>
          <w:tcPr>
            <w:tcW w:w="1239" w:type="dxa"/>
          </w:tcPr>
          <w:p w14:paraId="752A002C" w14:textId="0161DF45" w:rsidR="007B076A" w:rsidRDefault="007B076A" w:rsidP="0052634C">
            <w:pPr>
              <w:spacing w:line="276" w:lineRule="auto"/>
              <w:rPr>
                <w:iCs/>
              </w:rPr>
            </w:pPr>
            <w:r>
              <w:rPr>
                <w:iCs/>
              </w:rPr>
              <w:t>21 (13%</w:t>
            </w:r>
            <w:r w:rsidR="00750D6A">
              <w:rPr>
                <w:iCs/>
              </w:rPr>
              <w:t>;16 %</w:t>
            </w:r>
            <w:r>
              <w:rPr>
                <w:iCs/>
              </w:rPr>
              <w:t>)</w:t>
            </w:r>
          </w:p>
        </w:tc>
        <w:tc>
          <w:tcPr>
            <w:tcW w:w="1239" w:type="dxa"/>
          </w:tcPr>
          <w:p w14:paraId="675596C3" w14:textId="57B33046" w:rsidR="007B076A" w:rsidRDefault="00750D6A" w:rsidP="0052634C">
            <w:pPr>
              <w:spacing w:line="276" w:lineRule="auto"/>
              <w:rPr>
                <w:iCs/>
              </w:rPr>
            </w:pPr>
            <w:r>
              <w:rPr>
                <w:iCs/>
              </w:rPr>
              <w:t>88</w:t>
            </w:r>
            <w:r w:rsidR="007B076A">
              <w:rPr>
                <w:iCs/>
              </w:rPr>
              <w:t xml:space="preserve"> (89%</w:t>
            </w:r>
            <w:r>
              <w:rPr>
                <w:iCs/>
              </w:rPr>
              <w:t>;96 %</w:t>
            </w:r>
            <w:r w:rsidR="007B076A">
              <w:rPr>
                <w:iCs/>
              </w:rPr>
              <w:t>)</w:t>
            </w:r>
          </w:p>
        </w:tc>
        <w:tc>
          <w:tcPr>
            <w:tcW w:w="1238" w:type="dxa"/>
          </w:tcPr>
          <w:p w14:paraId="59859D91" w14:textId="687782BE" w:rsidR="007B076A" w:rsidRDefault="00750D6A" w:rsidP="0052634C">
            <w:pPr>
              <w:spacing w:line="276" w:lineRule="auto"/>
              <w:rPr>
                <w:iCs/>
              </w:rPr>
            </w:pPr>
            <w:r>
              <w:rPr>
                <w:iCs/>
              </w:rPr>
              <w:t>36</w:t>
            </w:r>
            <w:r w:rsidR="007B076A">
              <w:rPr>
                <w:iCs/>
              </w:rPr>
              <w:t xml:space="preserve"> (4</w:t>
            </w:r>
            <w:r>
              <w:rPr>
                <w:iCs/>
              </w:rPr>
              <w:t>4</w:t>
            </w:r>
            <w:r w:rsidR="007B076A">
              <w:rPr>
                <w:iCs/>
              </w:rPr>
              <w:t>%</w:t>
            </w:r>
            <w:r>
              <w:rPr>
                <w:iCs/>
              </w:rPr>
              <w:t>;58 %</w:t>
            </w:r>
            <w:r w:rsidR="007B076A">
              <w:rPr>
                <w:iCs/>
              </w:rPr>
              <w:t>)</w:t>
            </w:r>
          </w:p>
        </w:tc>
        <w:tc>
          <w:tcPr>
            <w:tcW w:w="1239" w:type="dxa"/>
          </w:tcPr>
          <w:p w14:paraId="75FA9EA3" w14:textId="39962BA0" w:rsidR="007B076A" w:rsidRDefault="007B076A" w:rsidP="0052634C">
            <w:pPr>
              <w:spacing w:line="276" w:lineRule="auto"/>
              <w:rPr>
                <w:iCs/>
              </w:rPr>
            </w:pPr>
            <w:r>
              <w:rPr>
                <w:iCs/>
              </w:rPr>
              <w:t>45 (85%</w:t>
            </w:r>
            <w:r w:rsidR="00750D6A">
              <w:rPr>
                <w:iCs/>
              </w:rPr>
              <w:t>;85 %</w:t>
            </w:r>
            <w:r>
              <w:rPr>
                <w:iCs/>
              </w:rPr>
              <w:t>)</w:t>
            </w:r>
          </w:p>
        </w:tc>
        <w:tc>
          <w:tcPr>
            <w:tcW w:w="1239" w:type="dxa"/>
          </w:tcPr>
          <w:p w14:paraId="21E440FA" w14:textId="3FD5AD08" w:rsidR="007B076A" w:rsidRDefault="0047514A" w:rsidP="0052634C">
            <w:pPr>
              <w:spacing w:line="276" w:lineRule="auto"/>
              <w:rPr>
                <w:iCs/>
              </w:rPr>
            </w:pPr>
            <w:r>
              <w:rPr>
                <w:iCs/>
              </w:rPr>
              <w:t>15</w:t>
            </w:r>
            <w:r w:rsidR="002136E2">
              <w:rPr>
                <w:iCs/>
              </w:rPr>
              <w:t xml:space="preserve"> (39%</w:t>
            </w:r>
            <w:r w:rsidR="00750D6A">
              <w:rPr>
                <w:iCs/>
              </w:rPr>
              <w:t>;47 %</w:t>
            </w:r>
            <w:r w:rsidR="002136E2">
              <w:rPr>
                <w:iCs/>
              </w:rPr>
              <w:t>)</w:t>
            </w:r>
          </w:p>
        </w:tc>
      </w:tr>
      <w:tr w:rsidR="007B076A" w14:paraId="19891F37" w14:textId="5C27F253" w:rsidTr="46C78BCB">
        <w:tc>
          <w:tcPr>
            <w:tcW w:w="1586" w:type="dxa"/>
          </w:tcPr>
          <w:p w14:paraId="0D80E1F4" w14:textId="3443E9CA" w:rsidR="007B076A" w:rsidRDefault="007B076A" w:rsidP="0052634C">
            <w:pPr>
              <w:spacing w:line="276" w:lineRule="auto"/>
              <w:rPr>
                <w:iCs/>
              </w:rPr>
            </w:pPr>
            <w:r>
              <w:rPr>
                <w:iCs/>
              </w:rPr>
              <w:t>Concentric</w:t>
            </w:r>
          </w:p>
        </w:tc>
        <w:tc>
          <w:tcPr>
            <w:tcW w:w="1236" w:type="dxa"/>
          </w:tcPr>
          <w:p w14:paraId="24690218" w14:textId="18C0546D" w:rsidR="007B076A" w:rsidRDefault="007B076A" w:rsidP="0052634C">
            <w:pPr>
              <w:spacing w:line="276" w:lineRule="auto"/>
              <w:rPr>
                <w:iCs/>
              </w:rPr>
            </w:pPr>
            <w:r>
              <w:rPr>
                <w:iCs/>
              </w:rPr>
              <w:t>37</w:t>
            </w:r>
            <w:r w:rsidR="00BC5515">
              <w:rPr>
                <w:iCs/>
              </w:rPr>
              <w:t xml:space="preserve"> (</w:t>
            </w:r>
            <w:r>
              <w:rPr>
                <w:iCs/>
              </w:rPr>
              <w:t>8%)</w:t>
            </w:r>
          </w:p>
        </w:tc>
        <w:tc>
          <w:tcPr>
            <w:tcW w:w="1239" w:type="dxa"/>
          </w:tcPr>
          <w:p w14:paraId="6B820BE3" w14:textId="63FBA916" w:rsidR="007B076A" w:rsidRDefault="00BC5515" w:rsidP="0052634C">
            <w:pPr>
              <w:spacing w:line="276" w:lineRule="auto"/>
              <w:rPr>
                <w:iCs/>
              </w:rPr>
            </w:pPr>
            <w:r>
              <w:rPr>
                <w:iCs/>
              </w:rPr>
              <w:t>12 (</w:t>
            </w:r>
            <w:r w:rsidR="007B076A">
              <w:rPr>
                <w:iCs/>
              </w:rPr>
              <w:t>7%)</w:t>
            </w:r>
          </w:p>
        </w:tc>
        <w:tc>
          <w:tcPr>
            <w:tcW w:w="1239" w:type="dxa"/>
          </w:tcPr>
          <w:p w14:paraId="770EF401" w14:textId="15E4F463" w:rsidR="007B076A" w:rsidRDefault="00BC5515" w:rsidP="0052634C">
            <w:pPr>
              <w:spacing w:line="276" w:lineRule="auto"/>
              <w:rPr>
                <w:iCs/>
              </w:rPr>
            </w:pPr>
            <w:r>
              <w:rPr>
                <w:iCs/>
              </w:rPr>
              <w:t>4 (</w:t>
            </w:r>
            <w:r w:rsidR="007B076A">
              <w:rPr>
                <w:iCs/>
              </w:rPr>
              <w:t>4%)</w:t>
            </w:r>
          </w:p>
        </w:tc>
        <w:tc>
          <w:tcPr>
            <w:tcW w:w="1238" w:type="dxa"/>
          </w:tcPr>
          <w:p w14:paraId="13B3C3FA" w14:textId="3A4A10CC" w:rsidR="007B076A" w:rsidRDefault="00BC5515" w:rsidP="0052634C">
            <w:pPr>
              <w:spacing w:line="276" w:lineRule="auto"/>
              <w:rPr>
                <w:iCs/>
              </w:rPr>
            </w:pPr>
            <w:r>
              <w:rPr>
                <w:iCs/>
              </w:rPr>
              <w:t xml:space="preserve"> 5 (</w:t>
            </w:r>
            <w:r w:rsidR="007B076A">
              <w:rPr>
                <w:iCs/>
              </w:rPr>
              <w:t>6%)</w:t>
            </w:r>
          </w:p>
        </w:tc>
        <w:tc>
          <w:tcPr>
            <w:tcW w:w="1239" w:type="dxa"/>
          </w:tcPr>
          <w:p w14:paraId="7271F9CD" w14:textId="39DEFF17" w:rsidR="007B076A" w:rsidRDefault="00BC5515" w:rsidP="0052634C">
            <w:pPr>
              <w:spacing w:line="276" w:lineRule="auto"/>
              <w:rPr>
                <w:iCs/>
              </w:rPr>
            </w:pPr>
            <w:r>
              <w:rPr>
                <w:iCs/>
              </w:rPr>
              <w:t>9 (</w:t>
            </w:r>
            <w:r w:rsidR="007B076A">
              <w:rPr>
                <w:iCs/>
              </w:rPr>
              <w:t>17%)</w:t>
            </w:r>
          </w:p>
        </w:tc>
        <w:tc>
          <w:tcPr>
            <w:tcW w:w="1239" w:type="dxa"/>
          </w:tcPr>
          <w:p w14:paraId="03884F7E" w14:textId="4AD42555" w:rsidR="007B076A" w:rsidRDefault="0047514A" w:rsidP="0052634C">
            <w:pPr>
              <w:spacing w:line="276" w:lineRule="auto"/>
              <w:rPr>
                <w:iCs/>
              </w:rPr>
            </w:pPr>
            <w:r>
              <w:rPr>
                <w:iCs/>
              </w:rPr>
              <w:t>7</w:t>
            </w:r>
            <w:r w:rsidR="00F74C49">
              <w:rPr>
                <w:iCs/>
              </w:rPr>
              <w:t xml:space="preserve"> (18%)</w:t>
            </w:r>
          </w:p>
        </w:tc>
      </w:tr>
      <w:tr w:rsidR="007B076A" w14:paraId="5D2802DA" w14:textId="4D35A9FA" w:rsidTr="46C78BCB">
        <w:tc>
          <w:tcPr>
            <w:tcW w:w="1586" w:type="dxa"/>
          </w:tcPr>
          <w:p w14:paraId="6830B529" w14:textId="4D9FABC5" w:rsidR="007B076A" w:rsidRDefault="007B076A" w:rsidP="0052634C">
            <w:pPr>
              <w:spacing w:line="276" w:lineRule="auto"/>
              <w:rPr>
                <w:iCs/>
              </w:rPr>
            </w:pPr>
            <w:r>
              <w:rPr>
                <w:iCs/>
              </w:rPr>
              <w:t>Eccentric + Concentric</w:t>
            </w:r>
          </w:p>
        </w:tc>
        <w:tc>
          <w:tcPr>
            <w:tcW w:w="1236" w:type="dxa"/>
          </w:tcPr>
          <w:p w14:paraId="2FA2C7E7" w14:textId="1BE1BC46" w:rsidR="007B076A" w:rsidRDefault="00750D6A" w:rsidP="0052634C">
            <w:pPr>
              <w:spacing w:line="276" w:lineRule="auto"/>
              <w:rPr>
                <w:iCs/>
              </w:rPr>
            </w:pPr>
            <w:r>
              <w:rPr>
                <w:iCs/>
              </w:rPr>
              <w:t>49</w:t>
            </w:r>
            <w:r w:rsidR="00BC5515">
              <w:rPr>
                <w:iCs/>
              </w:rPr>
              <w:t xml:space="preserve"> (</w:t>
            </w:r>
            <w:r w:rsidR="007B076A">
              <w:rPr>
                <w:iCs/>
              </w:rPr>
              <w:t>1</w:t>
            </w:r>
            <w:r>
              <w:rPr>
                <w:iCs/>
              </w:rPr>
              <w:t>1</w:t>
            </w:r>
            <w:r w:rsidR="007B076A">
              <w:rPr>
                <w:iCs/>
              </w:rPr>
              <w:t>%</w:t>
            </w:r>
            <w:r>
              <w:rPr>
                <w:iCs/>
              </w:rPr>
              <w:t>;13%</w:t>
            </w:r>
            <w:r w:rsidR="007B076A">
              <w:rPr>
                <w:iCs/>
              </w:rPr>
              <w:t>)</w:t>
            </w:r>
          </w:p>
        </w:tc>
        <w:tc>
          <w:tcPr>
            <w:tcW w:w="1239" w:type="dxa"/>
          </w:tcPr>
          <w:p w14:paraId="12DBB2E0" w14:textId="1D10888B" w:rsidR="007B076A" w:rsidRDefault="00BC5515" w:rsidP="0052634C">
            <w:pPr>
              <w:spacing w:line="276" w:lineRule="auto"/>
              <w:rPr>
                <w:iCs/>
              </w:rPr>
            </w:pPr>
            <w:r>
              <w:rPr>
                <w:iCs/>
              </w:rPr>
              <w:t>3</w:t>
            </w:r>
            <w:r w:rsidR="00750D6A">
              <w:rPr>
                <w:iCs/>
              </w:rPr>
              <w:t>2</w:t>
            </w:r>
            <w:r>
              <w:rPr>
                <w:iCs/>
              </w:rPr>
              <w:t xml:space="preserve"> (</w:t>
            </w:r>
            <w:r w:rsidR="00750D6A">
              <w:rPr>
                <w:iCs/>
              </w:rPr>
              <w:t>19</w:t>
            </w:r>
            <w:r w:rsidR="007B076A">
              <w:rPr>
                <w:iCs/>
              </w:rPr>
              <w:t>%</w:t>
            </w:r>
            <w:r w:rsidR="00750D6A">
              <w:rPr>
                <w:iCs/>
              </w:rPr>
              <w:t>;25 %</w:t>
            </w:r>
            <w:r w:rsidR="007B076A">
              <w:rPr>
                <w:iCs/>
              </w:rPr>
              <w:t>)</w:t>
            </w:r>
          </w:p>
        </w:tc>
        <w:tc>
          <w:tcPr>
            <w:tcW w:w="1239" w:type="dxa"/>
          </w:tcPr>
          <w:p w14:paraId="1169F992" w14:textId="0CB68840" w:rsidR="007B076A" w:rsidRDefault="00750D6A" w:rsidP="0052634C">
            <w:pPr>
              <w:spacing w:line="276" w:lineRule="auto"/>
              <w:rPr>
                <w:iCs/>
              </w:rPr>
            </w:pPr>
            <w:r>
              <w:rPr>
                <w:iCs/>
              </w:rPr>
              <w:t>1</w:t>
            </w:r>
            <w:r w:rsidR="007B076A">
              <w:rPr>
                <w:iCs/>
              </w:rPr>
              <w:t xml:space="preserve"> </w:t>
            </w:r>
            <w:r w:rsidR="00BC5515">
              <w:rPr>
                <w:iCs/>
              </w:rPr>
              <w:t>(</w:t>
            </w:r>
            <w:r>
              <w:rPr>
                <w:iCs/>
              </w:rPr>
              <w:t>1</w:t>
            </w:r>
            <w:r w:rsidR="007B076A">
              <w:rPr>
                <w:iCs/>
              </w:rPr>
              <w:t>%</w:t>
            </w:r>
            <w:r>
              <w:rPr>
                <w:iCs/>
              </w:rPr>
              <w:t>;1 %</w:t>
            </w:r>
            <w:r w:rsidR="007B076A">
              <w:rPr>
                <w:iCs/>
              </w:rPr>
              <w:t>)</w:t>
            </w:r>
          </w:p>
        </w:tc>
        <w:tc>
          <w:tcPr>
            <w:tcW w:w="1238" w:type="dxa"/>
          </w:tcPr>
          <w:p w14:paraId="29980060" w14:textId="383108AC" w:rsidR="007B076A" w:rsidRDefault="00BC5515" w:rsidP="0052634C">
            <w:pPr>
              <w:spacing w:line="276" w:lineRule="auto"/>
              <w:rPr>
                <w:iCs/>
              </w:rPr>
            </w:pPr>
            <w:r>
              <w:rPr>
                <w:iCs/>
              </w:rPr>
              <w:t>6 (</w:t>
            </w:r>
            <w:r w:rsidR="007B076A">
              <w:rPr>
                <w:iCs/>
              </w:rPr>
              <w:t>7%</w:t>
            </w:r>
            <w:r w:rsidR="00750D6A">
              <w:rPr>
                <w:iCs/>
              </w:rPr>
              <w:t>;10 %</w:t>
            </w:r>
            <w:r w:rsidR="007B076A">
              <w:rPr>
                <w:iCs/>
              </w:rPr>
              <w:t>)</w:t>
            </w:r>
          </w:p>
        </w:tc>
        <w:tc>
          <w:tcPr>
            <w:tcW w:w="1239" w:type="dxa"/>
          </w:tcPr>
          <w:p w14:paraId="47532E67" w14:textId="7E286BE9" w:rsidR="007B076A" w:rsidRDefault="00750D6A" w:rsidP="0052634C">
            <w:pPr>
              <w:spacing w:line="276" w:lineRule="auto"/>
              <w:rPr>
                <w:iCs/>
              </w:rPr>
            </w:pPr>
            <w:r>
              <w:rPr>
                <w:iCs/>
              </w:rPr>
              <w:t>2</w:t>
            </w:r>
            <w:r w:rsidR="00BC5515">
              <w:rPr>
                <w:iCs/>
              </w:rPr>
              <w:t xml:space="preserve"> (</w:t>
            </w:r>
            <w:r>
              <w:rPr>
                <w:iCs/>
              </w:rPr>
              <w:t>4</w:t>
            </w:r>
            <w:r w:rsidR="007B076A">
              <w:rPr>
                <w:iCs/>
              </w:rPr>
              <w:t>%</w:t>
            </w:r>
            <w:r>
              <w:rPr>
                <w:iCs/>
              </w:rPr>
              <w:t>;4 %</w:t>
            </w:r>
            <w:r w:rsidR="007B076A">
              <w:rPr>
                <w:iCs/>
              </w:rPr>
              <w:t>)</w:t>
            </w:r>
          </w:p>
        </w:tc>
        <w:tc>
          <w:tcPr>
            <w:tcW w:w="1239" w:type="dxa"/>
          </w:tcPr>
          <w:p w14:paraId="1EC6B37D" w14:textId="6759341F" w:rsidR="007B076A" w:rsidRDefault="00750D6A" w:rsidP="0052634C">
            <w:pPr>
              <w:spacing w:line="276" w:lineRule="auto"/>
              <w:rPr>
                <w:iCs/>
              </w:rPr>
            </w:pPr>
            <w:r>
              <w:rPr>
                <w:iCs/>
              </w:rPr>
              <w:t>8</w:t>
            </w:r>
            <w:r w:rsidR="00F74C49">
              <w:rPr>
                <w:iCs/>
              </w:rPr>
              <w:t xml:space="preserve"> (</w:t>
            </w:r>
            <w:r>
              <w:rPr>
                <w:iCs/>
              </w:rPr>
              <w:t>21</w:t>
            </w:r>
            <w:r w:rsidR="00F74C49">
              <w:rPr>
                <w:iCs/>
              </w:rPr>
              <w:t>%</w:t>
            </w:r>
            <w:r>
              <w:rPr>
                <w:iCs/>
              </w:rPr>
              <w:t>;25 %</w:t>
            </w:r>
            <w:r w:rsidR="00F74C49">
              <w:rPr>
                <w:iCs/>
              </w:rPr>
              <w:t>)</w:t>
            </w:r>
          </w:p>
        </w:tc>
      </w:tr>
      <w:tr w:rsidR="007B076A" w14:paraId="7560322E" w14:textId="5CB6034A" w:rsidTr="46C78BCB">
        <w:tc>
          <w:tcPr>
            <w:tcW w:w="1586" w:type="dxa"/>
          </w:tcPr>
          <w:p w14:paraId="11DB8153" w14:textId="4DC7804C" w:rsidR="007B076A" w:rsidRDefault="007B076A" w:rsidP="0052634C">
            <w:pPr>
              <w:spacing w:line="276" w:lineRule="auto"/>
              <w:rPr>
                <w:iCs/>
              </w:rPr>
            </w:pPr>
            <w:r>
              <w:rPr>
                <w:iCs/>
              </w:rPr>
              <w:t>Isometric</w:t>
            </w:r>
          </w:p>
        </w:tc>
        <w:tc>
          <w:tcPr>
            <w:tcW w:w="1236" w:type="dxa"/>
          </w:tcPr>
          <w:p w14:paraId="2CFD031A" w14:textId="4D41A5FD" w:rsidR="007B076A" w:rsidRDefault="00DC010B" w:rsidP="0052634C">
            <w:pPr>
              <w:spacing w:line="276" w:lineRule="auto"/>
            </w:pPr>
            <w:r>
              <w:t>68 (</w:t>
            </w:r>
            <w:r w:rsidR="007B076A">
              <w:t>1</w:t>
            </w:r>
            <w:r w:rsidR="4E399C37">
              <w:t>6</w:t>
            </w:r>
            <w:r w:rsidR="007B076A">
              <w:t>%</w:t>
            </w:r>
            <w:r w:rsidR="00750D6A">
              <w:t>;19%</w:t>
            </w:r>
            <w:r w:rsidR="007B076A">
              <w:t>)</w:t>
            </w:r>
          </w:p>
        </w:tc>
        <w:tc>
          <w:tcPr>
            <w:tcW w:w="1239" w:type="dxa"/>
          </w:tcPr>
          <w:p w14:paraId="016CCDE6" w14:textId="0E01B805" w:rsidR="007B076A" w:rsidRDefault="0023399A" w:rsidP="0052634C">
            <w:pPr>
              <w:spacing w:line="276" w:lineRule="auto"/>
              <w:rPr>
                <w:iCs/>
              </w:rPr>
            </w:pPr>
            <w:r>
              <w:rPr>
                <w:iCs/>
              </w:rPr>
              <w:t>34 (</w:t>
            </w:r>
            <w:r w:rsidR="00750D6A">
              <w:rPr>
                <w:iCs/>
              </w:rPr>
              <w:t>21</w:t>
            </w:r>
            <w:r w:rsidR="007B076A">
              <w:rPr>
                <w:iCs/>
              </w:rPr>
              <w:t>%</w:t>
            </w:r>
            <w:r w:rsidR="00750D6A">
              <w:rPr>
                <w:iCs/>
              </w:rPr>
              <w:t>;27 %</w:t>
            </w:r>
            <w:r w:rsidR="007B076A">
              <w:rPr>
                <w:iCs/>
              </w:rPr>
              <w:t>)</w:t>
            </w:r>
          </w:p>
        </w:tc>
        <w:tc>
          <w:tcPr>
            <w:tcW w:w="1239" w:type="dxa"/>
          </w:tcPr>
          <w:p w14:paraId="46238EAD" w14:textId="07455BAD" w:rsidR="007B076A" w:rsidRDefault="0023399A" w:rsidP="0052634C">
            <w:pPr>
              <w:spacing w:line="276" w:lineRule="auto"/>
              <w:rPr>
                <w:iCs/>
              </w:rPr>
            </w:pPr>
            <w:r>
              <w:rPr>
                <w:iCs/>
              </w:rPr>
              <w:t>5 (</w:t>
            </w:r>
            <w:r w:rsidR="007B076A">
              <w:rPr>
                <w:iCs/>
              </w:rPr>
              <w:t>5%</w:t>
            </w:r>
            <w:r w:rsidR="00750D6A">
              <w:rPr>
                <w:iCs/>
              </w:rPr>
              <w:t>;5 %</w:t>
            </w:r>
            <w:r w:rsidR="007B076A">
              <w:rPr>
                <w:iCs/>
              </w:rPr>
              <w:t>)</w:t>
            </w:r>
          </w:p>
        </w:tc>
        <w:tc>
          <w:tcPr>
            <w:tcW w:w="1238" w:type="dxa"/>
          </w:tcPr>
          <w:p w14:paraId="5D255D70" w14:textId="7729D57C" w:rsidR="007B076A" w:rsidRDefault="0023399A" w:rsidP="0052634C">
            <w:pPr>
              <w:spacing w:line="276" w:lineRule="auto"/>
              <w:rPr>
                <w:iCs/>
              </w:rPr>
            </w:pPr>
            <w:r>
              <w:rPr>
                <w:iCs/>
              </w:rPr>
              <w:t>11</w:t>
            </w:r>
            <w:r w:rsidR="007B076A">
              <w:rPr>
                <w:iCs/>
              </w:rPr>
              <w:t xml:space="preserve"> </w:t>
            </w:r>
            <w:r>
              <w:rPr>
                <w:iCs/>
              </w:rPr>
              <w:t>(</w:t>
            </w:r>
            <w:r w:rsidR="00750D6A">
              <w:rPr>
                <w:iCs/>
              </w:rPr>
              <w:t>14</w:t>
            </w:r>
            <w:r w:rsidR="007B076A">
              <w:rPr>
                <w:iCs/>
              </w:rPr>
              <w:t>%</w:t>
            </w:r>
            <w:r w:rsidR="00750D6A">
              <w:rPr>
                <w:iCs/>
              </w:rPr>
              <w:t>;18 %</w:t>
            </w:r>
            <w:r w:rsidR="007B076A">
              <w:rPr>
                <w:iCs/>
              </w:rPr>
              <w:t>)</w:t>
            </w:r>
          </w:p>
        </w:tc>
        <w:tc>
          <w:tcPr>
            <w:tcW w:w="1239" w:type="dxa"/>
          </w:tcPr>
          <w:p w14:paraId="7D7E67C7" w14:textId="248EB1FA" w:rsidR="007B076A" w:rsidRDefault="0023399A" w:rsidP="0052634C">
            <w:pPr>
              <w:spacing w:line="276" w:lineRule="auto"/>
              <w:rPr>
                <w:iCs/>
              </w:rPr>
            </w:pPr>
            <w:r>
              <w:rPr>
                <w:iCs/>
              </w:rPr>
              <w:t>10</w:t>
            </w:r>
            <w:r w:rsidR="007B076A">
              <w:rPr>
                <w:iCs/>
              </w:rPr>
              <w:t xml:space="preserve"> </w:t>
            </w:r>
            <w:r>
              <w:rPr>
                <w:iCs/>
              </w:rPr>
              <w:t>(</w:t>
            </w:r>
            <w:r w:rsidR="007B076A">
              <w:rPr>
                <w:iCs/>
              </w:rPr>
              <w:t>19%</w:t>
            </w:r>
            <w:r w:rsidR="00750D6A">
              <w:rPr>
                <w:iCs/>
              </w:rPr>
              <w:t>;19 %</w:t>
            </w:r>
            <w:r w:rsidR="007B076A">
              <w:rPr>
                <w:iCs/>
              </w:rPr>
              <w:t>)</w:t>
            </w:r>
          </w:p>
        </w:tc>
        <w:tc>
          <w:tcPr>
            <w:tcW w:w="1239" w:type="dxa"/>
          </w:tcPr>
          <w:p w14:paraId="4DA925FE" w14:textId="7FF56008" w:rsidR="007B076A" w:rsidRDefault="00803238" w:rsidP="0052634C">
            <w:pPr>
              <w:spacing w:line="276" w:lineRule="auto"/>
              <w:rPr>
                <w:iCs/>
              </w:rPr>
            </w:pPr>
            <w:r>
              <w:rPr>
                <w:iCs/>
              </w:rPr>
              <w:t>8</w:t>
            </w:r>
            <w:r w:rsidR="007A6A3E">
              <w:rPr>
                <w:iCs/>
              </w:rPr>
              <w:t xml:space="preserve"> (21%</w:t>
            </w:r>
            <w:r w:rsidR="00750D6A">
              <w:rPr>
                <w:iCs/>
              </w:rPr>
              <w:t>;25 %</w:t>
            </w:r>
            <w:r w:rsidR="007A6A3E">
              <w:rPr>
                <w:iCs/>
              </w:rPr>
              <w:t>)</w:t>
            </w:r>
          </w:p>
        </w:tc>
      </w:tr>
      <w:tr w:rsidR="007B076A" w14:paraId="139A9847" w14:textId="266C7C35" w:rsidTr="46C78BCB">
        <w:tc>
          <w:tcPr>
            <w:tcW w:w="1586" w:type="dxa"/>
          </w:tcPr>
          <w:p w14:paraId="562801B9" w14:textId="31747077" w:rsidR="007B076A" w:rsidRDefault="007B076A" w:rsidP="0052634C">
            <w:pPr>
              <w:spacing w:line="276" w:lineRule="auto"/>
              <w:rPr>
                <w:iCs/>
              </w:rPr>
            </w:pPr>
            <w:r>
              <w:rPr>
                <w:iCs/>
              </w:rPr>
              <w:t>Progressive</w:t>
            </w:r>
          </w:p>
        </w:tc>
        <w:tc>
          <w:tcPr>
            <w:tcW w:w="1236" w:type="dxa"/>
          </w:tcPr>
          <w:p w14:paraId="57D6F7D6" w14:textId="3C5043E6" w:rsidR="007B076A" w:rsidRDefault="00570536" w:rsidP="0052634C">
            <w:pPr>
              <w:spacing w:line="276" w:lineRule="auto"/>
              <w:rPr>
                <w:iCs/>
              </w:rPr>
            </w:pPr>
            <w:r>
              <w:rPr>
                <w:iCs/>
              </w:rPr>
              <w:t>28</w:t>
            </w:r>
            <w:r w:rsidR="007B076A">
              <w:rPr>
                <w:iCs/>
              </w:rPr>
              <w:t xml:space="preserve"> </w:t>
            </w:r>
            <w:r w:rsidR="0023399A">
              <w:rPr>
                <w:iCs/>
              </w:rPr>
              <w:t>(</w:t>
            </w:r>
            <w:r>
              <w:rPr>
                <w:iCs/>
              </w:rPr>
              <w:t>6</w:t>
            </w:r>
            <w:r w:rsidR="007B076A">
              <w:rPr>
                <w:iCs/>
              </w:rPr>
              <w:t>%</w:t>
            </w:r>
            <w:r>
              <w:rPr>
                <w:iCs/>
              </w:rPr>
              <w:t>;8%</w:t>
            </w:r>
            <w:r w:rsidR="007B076A">
              <w:rPr>
                <w:iCs/>
              </w:rPr>
              <w:t>)</w:t>
            </w:r>
          </w:p>
        </w:tc>
        <w:tc>
          <w:tcPr>
            <w:tcW w:w="1239" w:type="dxa"/>
          </w:tcPr>
          <w:p w14:paraId="6CEEC094" w14:textId="64EC3D9B" w:rsidR="007B076A" w:rsidRDefault="00570536" w:rsidP="0052634C">
            <w:pPr>
              <w:spacing w:line="276" w:lineRule="auto"/>
              <w:rPr>
                <w:iCs/>
              </w:rPr>
            </w:pPr>
            <w:r>
              <w:rPr>
                <w:iCs/>
              </w:rPr>
              <w:t>19</w:t>
            </w:r>
            <w:r w:rsidR="007B076A">
              <w:rPr>
                <w:iCs/>
              </w:rPr>
              <w:t xml:space="preserve"> </w:t>
            </w:r>
            <w:r w:rsidR="0023399A">
              <w:rPr>
                <w:iCs/>
              </w:rPr>
              <w:t>(</w:t>
            </w:r>
            <w:r w:rsidR="007B076A">
              <w:rPr>
                <w:iCs/>
              </w:rPr>
              <w:t>12%</w:t>
            </w:r>
            <w:r>
              <w:rPr>
                <w:iCs/>
              </w:rPr>
              <w:t>;15 %</w:t>
            </w:r>
            <w:r w:rsidR="007B076A">
              <w:rPr>
                <w:iCs/>
              </w:rPr>
              <w:t>)</w:t>
            </w:r>
          </w:p>
        </w:tc>
        <w:tc>
          <w:tcPr>
            <w:tcW w:w="1239" w:type="dxa"/>
          </w:tcPr>
          <w:p w14:paraId="1E5EE6ED" w14:textId="43CE52B9" w:rsidR="007B076A" w:rsidRDefault="0023399A" w:rsidP="0052634C">
            <w:pPr>
              <w:spacing w:line="276" w:lineRule="auto"/>
              <w:rPr>
                <w:iCs/>
              </w:rPr>
            </w:pPr>
            <w:r>
              <w:rPr>
                <w:iCs/>
              </w:rPr>
              <w:t>0 (</w:t>
            </w:r>
            <w:r w:rsidR="007B076A">
              <w:rPr>
                <w:iCs/>
              </w:rPr>
              <w:t>0%</w:t>
            </w:r>
            <w:r w:rsidR="00570536">
              <w:rPr>
                <w:iCs/>
              </w:rPr>
              <w:t>;0%</w:t>
            </w:r>
            <w:r w:rsidR="007B076A">
              <w:rPr>
                <w:iCs/>
              </w:rPr>
              <w:t>)</w:t>
            </w:r>
          </w:p>
        </w:tc>
        <w:tc>
          <w:tcPr>
            <w:tcW w:w="1238" w:type="dxa"/>
          </w:tcPr>
          <w:p w14:paraId="39CDE0FF" w14:textId="4B8E4DAA" w:rsidR="007B076A" w:rsidRDefault="0023399A" w:rsidP="0052634C">
            <w:pPr>
              <w:spacing w:line="276" w:lineRule="auto"/>
              <w:rPr>
                <w:iCs/>
              </w:rPr>
            </w:pPr>
            <w:r>
              <w:rPr>
                <w:iCs/>
              </w:rPr>
              <w:t>5</w:t>
            </w:r>
            <w:r w:rsidR="007B076A">
              <w:rPr>
                <w:iCs/>
              </w:rPr>
              <w:t xml:space="preserve"> </w:t>
            </w:r>
            <w:r>
              <w:rPr>
                <w:iCs/>
              </w:rPr>
              <w:t>(</w:t>
            </w:r>
            <w:r w:rsidR="007B076A">
              <w:rPr>
                <w:iCs/>
              </w:rPr>
              <w:t>6%</w:t>
            </w:r>
            <w:r w:rsidR="00570536">
              <w:rPr>
                <w:iCs/>
              </w:rPr>
              <w:t>;8%</w:t>
            </w:r>
            <w:r w:rsidR="007B076A">
              <w:rPr>
                <w:iCs/>
              </w:rPr>
              <w:t>)</w:t>
            </w:r>
          </w:p>
        </w:tc>
        <w:tc>
          <w:tcPr>
            <w:tcW w:w="1239" w:type="dxa"/>
          </w:tcPr>
          <w:p w14:paraId="2A3D7ABE" w14:textId="1EE2CB5E" w:rsidR="007B076A" w:rsidRDefault="0023399A" w:rsidP="0052634C">
            <w:pPr>
              <w:spacing w:line="276" w:lineRule="auto"/>
              <w:rPr>
                <w:iCs/>
              </w:rPr>
            </w:pPr>
            <w:r>
              <w:rPr>
                <w:iCs/>
              </w:rPr>
              <w:t>1 (</w:t>
            </w:r>
            <w:r w:rsidR="007B076A">
              <w:rPr>
                <w:iCs/>
              </w:rPr>
              <w:t>2%</w:t>
            </w:r>
            <w:r w:rsidR="00570536">
              <w:rPr>
                <w:iCs/>
              </w:rPr>
              <w:t>;2%</w:t>
            </w:r>
            <w:r w:rsidR="007B076A">
              <w:rPr>
                <w:iCs/>
              </w:rPr>
              <w:t>)</w:t>
            </w:r>
          </w:p>
        </w:tc>
        <w:tc>
          <w:tcPr>
            <w:tcW w:w="1239" w:type="dxa"/>
          </w:tcPr>
          <w:p w14:paraId="2AE5CCAE" w14:textId="1CC09EBD" w:rsidR="007B076A" w:rsidRDefault="00F97A1A" w:rsidP="0052634C">
            <w:pPr>
              <w:spacing w:line="276" w:lineRule="auto"/>
              <w:rPr>
                <w:iCs/>
              </w:rPr>
            </w:pPr>
            <w:r>
              <w:rPr>
                <w:iCs/>
              </w:rPr>
              <w:t>3</w:t>
            </w:r>
            <w:r w:rsidR="00580D63">
              <w:rPr>
                <w:iCs/>
              </w:rPr>
              <w:t xml:space="preserve"> (8%</w:t>
            </w:r>
            <w:r w:rsidR="00570536">
              <w:rPr>
                <w:iCs/>
              </w:rPr>
              <w:t>;9%</w:t>
            </w:r>
            <w:r w:rsidR="00580D63">
              <w:rPr>
                <w:iCs/>
              </w:rPr>
              <w:t>)</w:t>
            </w:r>
          </w:p>
        </w:tc>
      </w:tr>
      <w:tr w:rsidR="007B076A" w14:paraId="308AFB6F" w14:textId="7A46210F" w:rsidTr="46C78BCB">
        <w:tc>
          <w:tcPr>
            <w:tcW w:w="1586" w:type="dxa"/>
          </w:tcPr>
          <w:p w14:paraId="167359C0" w14:textId="35F4C92D" w:rsidR="007B076A" w:rsidRDefault="007B076A" w:rsidP="0052634C">
            <w:pPr>
              <w:spacing w:line="276" w:lineRule="auto"/>
              <w:rPr>
                <w:iCs/>
              </w:rPr>
            </w:pPr>
            <w:r>
              <w:rPr>
                <w:iCs/>
              </w:rPr>
              <w:t>Isotonic</w:t>
            </w:r>
          </w:p>
        </w:tc>
        <w:tc>
          <w:tcPr>
            <w:tcW w:w="1236" w:type="dxa"/>
          </w:tcPr>
          <w:p w14:paraId="6246D33F" w14:textId="401666FB" w:rsidR="007B076A" w:rsidRDefault="0023399A" w:rsidP="0052634C">
            <w:pPr>
              <w:spacing w:line="276" w:lineRule="auto"/>
              <w:rPr>
                <w:iCs/>
              </w:rPr>
            </w:pPr>
            <w:r>
              <w:rPr>
                <w:iCs/>
              </w:rPr>
              <w:t>15</w:t>
            </w:r>
            <w:r w:rsidR="007B076A">
              <w:rPr>
                <w:iCs/>
              </w:rPr>
              <w:t xml:space="preserve"> </w:t>
            </w:r>
            <w:r>
              <w:rPr>
                <w:iCs/>
              </w:rPr>
              <w:t>(</w:t>
            </w:r>
            <w:r w:rsidR="007B076A">
              <w:rPr>
                <w:iCs/>
              </w:rPr>
              <w:t>3%</w:t>
            </w:r>
            <w:r w:rsidR="00570536">
              <w:rPr>
                <w:iCs/>
              </w:rPr>
              <w:t>;4%</w:t>
            </w:r>
            <w:r w:rsidR="007B076A">
              <w:rPr>
                <w:iCs/>
              </w:rPr>
              <w:t>)</w:t>
            </w:r>
          </w:p>
        </w:tc>
        <w:tc>
          <w:tcPr>
            <w:tcW w:w="1239" w:type="dxa"/>
          </w:tcPr>
          <w:p w14:paraId="5222F014" w14:textId="5148E6EE" w:rsidR="007B076A" w:rsidRDefault="0023399A" w:rsidP="0052634C">
            <w:pPr>
              <w:spacing w:line="276" w:lineRule="auto"/>
              <w:rPr>
                <w:iCs/>
              </w:rPr>
            </w:pPr>
            <w:r>
              <w:rPr>
                <w:iCs/>
              </w:rPr>
              <w:t>11</w:t>
            </w:r>
            <w:r w:rsidR="007B076A">
              <w:rPr>
                <w:iCs/>
              </w:rPr>
              <w:t xml:space="preserve"> </w:t>
            </w:r>
            <w:r>
              <w:rPr>
                <w:iCs/>
              </w:rPr>
              <w:t>(</w:t>
            </w:r>
            <w:r w:rsidR="007B076A">
              <w:rPr>
                <w:iCs/>
              </w:rPr>
              <w:t>7%</w:t>
            </w:r>
            <w:r w:rsidR="00CF3075">
              <w:rPr>
                <w:iCs/>
              </w:rPr>
              <w:t>;9%</w:t>
            </w:r>
            <w:r w:rsidR="007B076A">
              <w:rPr>
                <w:iCs/>
              </w:rPr>
              <w:t>)</w:t>
            </w:r>
          </w:p>
        </w:tc>
        <w:tc>
          <w:tcPr>
            <w:tcW w:w="1239" w:type="dxa"/>
          </w:tcPr>
          <w:p w14:paraId="21610117" w14:textId="03FD1DCF" w:rsidR="007B076A" w:rsidRDefault="0023399A" w:rsidP="0052634C">
            <w:pPr>
              <w:spacing w:line="276" w:lineRule="auto"/>
              <w:rPr>
                <w:iCs/>
              </w:rPr>
            </w:pPr>
            <w:r>
              <w:rPr>
                <w:iCs/>
              </w:rPr>
              <w:t>1</w:t>
            </w:r>
            <w:r w:rsidR="007B076A">
              <w:rPr>
                <w:iCs/>
              </w:rPr>
              <w:t xml:space="preserve"> </w:t>
            </w:r>
            <w:r>
              <w:rPr>
                <w:iCs/>
              </w:rPr>
              <w:t>(</w:t>
            </w:r>
            <w:r w:rsidR="007B076A">
              <w:rPr>
                <w:iCs/>
              </w:rPr>
              <w:t>1%</w:t>
            </w:r>
            <w:r w:rsidR="00CF3075">
              <w:rPr>
                <w:iCs/>
              </w:rPr>
              <w:t>;1%</w:t>
            </w:r>
            <w:r w:rsidR="007B076A">
              <w:rPr>
                <w:iCs/>
              </w:rPr>
              <w:t>)</w:t>
            </w:r>
          </w:p>
        </w:tc>
        <w:tc>
          <w:tcPr>
            <w:tcW w:w="1238" w:type="dxa"/>
          </w:tcPr>
          <w:p w14:paraId="21739052" w14:textId="28BBE130" w:rsidR="007B076A" w:rsidRDefault="0023399A" w:rsidP="0052634C">
            <w:pPr>
              <w:spacing w:line="276" w:lineRule="auto"/>
              <w:rPr>
                <w:iCs/>
              </w:rPr>
            </w:pPr>
            <w:r>
              <w:rPr>
                <w:iCs/>
              </w:rPr>
              <w:t>2</w:t>
            </w:r>
            <w:r w:rsidR="007B076A">
              <w:rPr>
                <w:iCs/>
              </w:rPr>
              <w:t xml:space="preserve"> </w:t>
            </w:r>
            <w:r>
              <w:rPr>
                <w:iCs/>
              </w:rPr>
              <w:t>(</w:t>
            </w:r>
            <w:r w:rsidR="007B076A">
              <w:rPr>
                <w:iCs/>
              </w:rPr>
              <w:t>2%</w:t>
            </w:r>
            <w:r w:rsidR="00CF3075">
              <w:rPr>
                <w:iCs/>
              </w:rPr>
              <w:t>;3%</w:t>
            </w:r>
            <w:r w:rsidR="007B076A">
              <w:rPr>
                <w:iCs/>
              </w:rPr>
              <w:t>)</w:t>
            </w:r>
          </w:p>
        </w:tc>
        <w:tc>
          <w:tcPr>
            <w:tcW w:w="1239" w:type="dxa"/>
          </w:tcPr>
          <w:p w14:paraId="69745FC5" w14:textId="5C02715B" w:rsidR="007B076A" w:rsidRDefault="0023399A" w:rsidP="0052634C">
            <w:pPr>
              <w:spacing w:line="276" w:lineRule="auto"/>
              <w:rPr>
                <w:iCs/>
              </w:rPr>
            </w:pPr>
            <w:r>
              <w:rPr>
                <w:iCs/>
              </w:rPr>
              <w:t>1</w:t>
            </w:r>
            <w:r w:rsidR="007B076A">
              <w:rPr>
                <w:iCs/>
              </w:rPr>
              <w:t xml:space="preserve"> </w:t>
            </w:r>
            <w:r>
              <w:rPr>
                <w:iCs/>
              </w:rPr>
              <w:t>(</w:t>
            </w:r>
            <w:r w:rsidR="007B076A">
              <w:rPr>
                <w:iCs/>
              </w:rPr>
              <w:t>2%</w:t>
            </w:r>
            <w:r w:rsidR="00CF3075">
              <w:rPr>
                <w:iCs/>
              </w:rPr>
              <w:t>;2%</w:t>
            </w:r>
            <w:r w:rsidR="007B076A">
              <w:rPr>
                <w:iCs/>
              </w:rPr>
              <w:t>)</w:t>
            </w:r>
          </w:p>
        </w:tc>
        <w:tc>
          <w:tcPr>
            <w:tcW w:w="1239" w:type="dxa"/>
          </w:tcPr>
          <w:p w14:paraId="6F6F4830" w14:textId="23A0DC1B" w:rsidR="007B076A" w:rsidRDefault="00CE2E78" w:rsidP="0052634C">
            <w:pPr>
              <w:spacing w:line="276" w:lineRule="auto"/>
              <w:rPr>
                <w:iCs/>
              </w:rPr>
            </w:pPr>
            <w:r>
              <w:rPr>
                <w:iCs/>
              </w:rPr>
              <w:t>0</w:t>
            </w:r>
            <w:r w:rsidR="00580D63">
              <w:rPr>
                <w:iCs/>
              </w:rPr>
              <w:t xml:space="preserve"> (0%</w:t>
            </w:r>
            <w:r w:rsidR="00CF3075">
              <w:rPr>
                <w:iCs/>
              </w:rPr>
              <w:t>;0%</w:t>
            </w:r>
            <w:r w:rsidR="00580D63">
              <w:rPr>
                <w:iCs/>
              </w:rPr>
              <w:t>)</w:t>
            </w:r>
          </w:p>
        </w:tc>
      </w:tr>
      <w:tr w:rsidR="007B076A" w14:paraId="6BBD8D5B" w14:textId="26926BDA" w:rsidTr="46C78BCB">
        <w:tc>
          <w:tcPr>
            <w:tcW w:w="1586" w:type="dxa"/>
          </w:tcPr>
          <w:p w14:paraId="35D5874D" w14:textId="477BFFD1" w:rsidR="007B076A" w:rsidRDefault="007B076A" w:rsidP="0052634C">
            <w:pPr>
              <w:spacing w:line="276" w:lineRule="auto"/>
              <w:rPr>
                <w:iCs/>
              </w:rPr>
            </w:pPr>
            <w:r>
              <w:rPr>
                <w:iCs/>
              </w:rPr>
              <w:t>Isokinetic</w:t>
            </w:r>
          </w:p>
        </w:tc>
        <w:tc>
          <w:tcPr>
            <w:tcW w:w="1236" w:type="dxa"/>
          </w:tcPr>
          <w:p w14:paraId="5BB4593C" w14:textId="7FA46450" w:rsidR="007B076A" w:rsidRDefault="0023399A" w:rsidP="0052634C">
            <w:pPr>
              <w:spacing w:line="276" w:lineRule="auto"/>
              <w:rPr>
                <w:iCs/>
              </w:rPr>
            </w:pPr>
            <w:r>
              <w:rPr>
                <w:iCs/>
              </w:rPr>
              <w:t>17</w:t>
            </w:r>
            <w:r w:rsidR="007B076A">
              <w:rPr>
                <w:iCs/>
              </w:rPr>
              <w:t xml:space="preserve"> </w:t>
            </w:r>
            <w:r>
              <w:rPr>
                <w:iCs/>
              </w:rPr>
              <w:t>(</w:t>
            </w:r>
            <w:r w:rsidR="007B076A">
              <w:rPr>
                <w:iCs/>
              </w:rPr>
              <w:t>4%</w:t>
            </w:r>
            <w:r w:rsidR="00CF3075">
              <w:rPr>
                <w:iCs/>
              </w:rPr>
              <w:t>;5%</w:t>
            </w:r>
            <w:r w:rsidR="007B076A">
              <w:rPr>
                <w:iCs/>
              </w:rPr>
              <w:t>)</w:t>
            </w:r>
          </w:p>
        </w:tc>
        <w:tc>
          <w:tcPr>
            <w:tcW w:w="1239" w:type="dxa"/>
          </w:tcPr>
          <w:p w14:paraId="30D026DE" w14:textId="25BA3E38" w:rsidR="007B076A" w:rsidRDefault="0023399A" w:rsidP="0052634C">
            <w:pPr>
              <w:spacing w:line="276" w:lineRule="auto"/>
              <w:rPr>
                <w:iCs/>
              </w:rPr>
            </w:pPr>
            <w:r>
              <w:rPr>
                <w:iCs/>
              </w:rPr>
              <w:t>6</w:t>
            </w:r>
            <w:r w:rsidR="007B076A">
              <w:rPr>
                <w:iCs/>
              </w:rPr>
              <w:t xml:space="preserve"> </w:t>
            </w:r>
            <w:r>
              <w:rPr>
                <w:iCs/>
              </w:rPr>
              <w:t>(</w:t>
            </w:r>
            <w:r w:rsidR="007B076A">
              <w:rPr>
                <w:iCs/>
              </w:rPr>
              <w:t>4%</w:t>
            </w:r>
            <w:r w:rsidR="004C7551">
              <w:rPr>
                <w:iCs/>
              </w:rPr>
              <w:t>;5%</w:t>
            </w:r>
            <w:r w:rsidR="007B076A">
              <w:rPr>
                <w:iCs/>
              </w:rPr>
              <w:t>)</w:t>
            </w:r>
          </w:p>
        </w:tc>
        <w:tc>
          <w:tcPr>
            <w:tcW w:w="1239" w:type="dxa"/>
          </w:tcPr>
          <w:p w14:paraId="3C6FE4D8" w14:textId="2C6504E1" w:rsidR="007B076A" w:rsidRDefault="004C7551" w:rsidP="0052634C">
            <w:pPr>
              <w:spacing w:line="276" w:lineRule="auto"/>
              <w:rPr>
                <w:iCs/>
              </w:rPr>
            </w:pPr>
            <w:r>
              <w:rPr>
                <w:iCs/>
              </w:rPr>
              <w:t>1</w:t>
            </w:r>
            <w:r w:rsidR="0023399A">
              <w:rPr>
                <w:iCs/>
              </w:rPr>
              <w:t xml:space="preserve"> (</w:t>
            </w:r>
            <w:r>
              <w:rPr>
                <w:iCs/>
              </w:rPr>
              <w:t>1</w:t>
            </w:r>
            <w:r w:rsidR="007B076A">
              <w:rPr>
                <w:iCs/>
              </w:rPr>
              <w:t>%</w:t>
            </w:r>
            <w:r>
              <w:rPr>
                <w:iCs/>
              </w:rPr>
              <w:t>;1%</w:t>
            </w:r>
            <w:r w:rsidR="007B076A">
              <w:rPr>
                <w:iCs/>
              </w:rPr>
              <w:t>)</w:t>
            </w:r>
          </w:p>
        </w:tc>
        <w:tc>
          <w:tcPr>
            <w:tcW w:w="1238" w:type="dxa"/>
          </w:tcPr>
          <w:p w14:paraId="2BAB1646" w14:textId="083083C1" w:rsidR="007B076A" w:rsidRDefault="004D7B0B" w:rsidP="0052634C">
            <w:pPr>
              <w:spacing w:line="276" w:lineRule="auto"/>
              <w:rPr>
                <w:iCs/>
              </w:rPr>
            </w:pPr>
            <w:r>
              <w:rPr>
                <w:iCs/>
              </w:rPr>
              <w:t>1</w:t>
            </w:r>
            <w:r w:rsidR="007B076A">
              <w:rPr>
                <w:iCs/>
              </w:rPr>
              <w:t xml:space="preserve"> </w:t>
            </w:r>
            <w:r>
              <w:rPr>
                <w:iCs/>
              </w:rPr>
              <w:t>(</w:t>
            </w:r>
            <w:r w:rsidR="007B076A">
              <w:rPr>
                <w:iCs/>
              </w:rPr>
              <w:t>1%</w:t>
            </w:r>
            <w:r w:rsidR="004C7551">
              <w:rPr>
                <w:iCs/>
              </w:rPr>
              <w:t>;2%</w:t>
            </w:r>
            <w:r w:rsidR="007B076A">
              <w:rPr>
                <w:iCs/>
              </w:rPr>
              <w:t>)</w:t>
            </w:r>
          </w:p>
        </w:tc>
        <w:tc>
          <w:tcPr>
            <w:tcW w:w="1239" w:type="dxa"/>
          </w:tcPr>
          <w:p w14:paraId="5D82532B" w14:textId="5D849FDD" w:rsidR="007B076A" w:rsidRDefault="004D7B0B" w:rsidP="0052634C">
            <w:pPr>
              <w:spacing w:line="276" w:lineRule="auto"/>
              <w:rPr>
                <w:iCs/>
              </w:rPr>
            </w:pPr>
            <w:r>
              <w:rPr>
                <w:iCs/>
              </w:rPr>
              <w:t>3 (</w:t>
            </w:r>
            <w:r w:rsidR="007B076A">
              <w:rPr>
                <w:iCs/>
              </w:rPr>
              <w:t>6%</w:t>
            </w:r>
            <w:r w:rsidR="004C7551">
              <w:rPr>
                <w:iCs/>
              </w:rPr>
              <w:t>;6%</w:t>
            </w:r>
            <w:r w:rsidR="007B076A">
              <w:rPr>
                <w:iCs/>
              </w:rPr>
              <w:t>)</w:t>
            </w:r>
          </w:p>
        </w:tc>
        <w:tc>
          <w:tcPr>
            <w:tcW w:w="1239" w:type="dxa"/>
          </w:tcPr>
          <w:p w14:paraId="5A404CF5" w14:textId="279CD2AE" w:rsidR="007B076A" w:rsidRDefault="004C7551" w:rsidP="0052634C">
            <w:pPr>
              <w:spacing w:line="276" w:lineRule="auto"/>
              <w:rPr>
                <w:iCs/>
              </w:rPr>
            </w:pPr>
            <w:r>
              <w:rPr>
                <w:iCs/>
              </w:rPr>
              <w:t>6</w:t>
            </w:r>
            <w:r w:rsidR="00580D63">
              <w:rPr>
                <w:iCs/>
              </w:rPr>
              <w:t xml:space="preserve"> (</w:t>
            </w:r>
            <w:r>
              <w:rPr>
                <w:iCs/>
              </w:rPr>
              <w:t>16</w:t>
            </w:r>
            <w:r w:rsidR="00580D63">
              <w:rPr>
                <w:iCs/>
              </w:rPr>
              <w:t>%</w:t>
            </w:r>
            <w:r>
              <w:rPr>
                <w:iCs/>
              </w:rPr>
              <w:t>;19 %</w:t>
            </w:r>
            <w:r w:rsidR="00580D63">
              <w:rPr>
                <w:iCs/>
              </w:rPr>
              <w:t>)</w:t>
            </w:r>
          </w:p>
        </w:tc>
      </w:tr>
      <w:tr w:rsidR="007B076A" w14:paraId="17B4F442" w14:textId="4F30B966" w:rsidTr="46C78BCB">
        <w:tc>
          <w:tcPr>
            <w:tcW w:w="1586" w:type="dxa"/>
          </w:tcPr>
          <w:p w14:paraId="267DAD73" w14:textId="5AB437E2" w:rsidR="007B076A" w:rsidRDefault="007B076A" w:rsidP="0052634C">
            <w:pPr>
              <w:spacing w:line="276" w:lineRule="auto"/>
              <w:rPr>
                <w:iCs/>
              </w:rPr>
            </w:pPr>
            <w:r>
              <w:rPr>
                <w:iCs/>
              </w:rPr>
              <w:t>H</w:t>
            </w:r>
            <w:r w:rsidR="00CD380B">
              <w:rPr>
                <w:iCs/>
              </w:rPr>
              <w:t>S</w:t>
            </w:r>
            <w:r>
              <w:rPr>
                <w:iCs/>
              </w:rPr>
              <w:t>RT</w:t>
            </w:r>
          </w:p>
        </w:tc>
        <w:tc>
          <w:tcPr>
            <w:tcW w:w="1236" w:type="dxa"/>
          </w:tcPr>
          <w:p w14:paraId="3E73CE53" w14:textId="5FD96DC1" w:rsidR="007B076A" w:rsidRDefault="004D7B0B" w:rsidP="0052634C">
            <w:pPr>
              <w:spacing w:line="276" w:lineRule="auto"/>
              <w:rPr>
                <w:iCs/>
              </w:rPr>
            </w:pPr>
            <w:r>
              <w:rPr>
                <w:iCs/>
              </w:rPr>
              <w:t>4 (</w:t>
            </w:r>
            <w:r w:rsidR="007B076A">
              <w:rPr>
                <w:iCs/>
              </w:rPr>
              <w:t>1%</w:t>
            </w:r>
            <w:r w:rsidR="004C7551">
              <w:rPr>
                <w:iCs/>
              </w:rPr>
              <w:t>;1%</w:t>
            </w:r>
            <w:r w:rsidR="007B076A">
              <w:rPr>
                <w:iCs/>
              </w:rPr>
              <w:t>)</w:t>
            </w:r>
          </w:p>
        </w:tc>
        <w:tc>
          <w:tcPr>
            <w:tcW w:w="1239" w:type="dxa"/>
          </w:tcPr>
          <w:p w14:paraId="7BBF0CCE" w14:textId="222EEE89" w:rsidR="007B076A" w:rsidRDefault="004D7B0B" w:rsidP="0052634C">
            <w:pPr>
              <w:spacing w:line="276" w:lineRule="auto"/>
              <w:rPr>
                <w:iCs/>
              </w:rPr>
            </w:pPr>
            <w:r>
              <w:rPr>
                <w:iCs/>
              </w:rPr>
              <w:t>0 (</w:t>
            </w:r>
            <w:r w:rsidR="007B076A">
              <w:rPr>
                <w:iCs/>
              </w:rPr>
              <w:t>0%</w:t>
            </w:r>
            <w:r w:rsidR="004C7551">
              <w:rPr>
                <w:iCs/>
              </w:rPr>
              <w:t>;0%</w:t>
            </w:r>
            <w:r w:rsidR="007B076A">
              <w:rPr>
                <w:iCs/>
              </w:rPr>
              <w:t>)</w:t>
            </w:r>
          </w:p>
        </w:tc>
        <w:tc>
          <w:tcPr>
            <w:tcW w:w="1239" w:type="dxa"/>
          </w:tcPr>
          <w:p w14:paraId="6B5B460D" w14:textId="10287C00" w:rsidR="007B076A" w:rsidRDefault="004D7B0B" w:rsidP="0052634C">
            <w:pPr>
              <w:spacing w:line="276" w:lineRule="auto"/>
              <w:rPr>
                <w:iCs/>
              </w:rPr>
            </w:pPr>
            <w:r>
              <w:rPr>
                <w:iCs/>
              </w:rPr>
              <w:t>0 (</w:t>
            </w:r>
            <w:r w:rsidR="007B076A">
              <w:rPr>
                <w:iCs/>
              </w:rPr>
              <w:t>0%</w:t>
            </w:r>
            <w:r w:rsidR="004C7551">
              <w:rPr>
                <w:iCs/>
              </w:rPr>
              <w:t>;0%</w:t>
            </w:r>
            <w:r w:rsidR="007B076A">
              <w:rPr>
                <w:iCs/>
              </w:rPr>
              <w:t>)</w:t>
            </w:r>
          </w:p>
        </w:tc>
        <w:tc>
          <w:tcPr>
            <w:tcW w:w="1238" w:type="dxa"/>
          </w:tcPr>
          <w:p w14:paraId="279B4D72" w14:textId="48F928EC" w:rsidR="007B076A" w:rsidRDefault="004D7B0B" w:rsidP="0052634C">
            <w:pPr>
              <w:spacing w:line="276" w:lineRule="auto"/>
              <w:rPr>
                <w:iCs/>
              </w:rPr>
            </w:pPr>
            <w:r>
              <w:rPr>
                <w:iCs/>
              </w:rPr>
              <w:t>1 (</w:t>
            </w:r>
            <w:r w:rsidR="007B076A">
              <w:rPr>
                <w:iCs/>
              </w:rPr>
              <w:t>1%</w:t>
            </w:r>
            <w:r w:rsidR="004C7551">
              <w:rPr>
                <w:iCs/>
              </w:rPr>
              <w:t>;2%</w:t>
            </w:r>
            <w:r w:rsidR="007B076A">
              <w:rPr>
                <w:iCs/>
              </w:rPr>
              <w:t>)</w:t>
            </w:r>
          </w:p>
        </w:tc>
        <w:tc>
          <w:tcPr>
            <w:tcW w:w="1239" w:type="dxa"/>
          </w:tcPr>
          <w:p w14:paraId="0BF6D779" w14:textId="1D349E14" w:rsidR="007B076A" w:rsidRDefault="009A373F" w:rsidP="0052634C">
            <w:pPr>
              <w:spacing w:line="276" w:lineRule="auto"/>
              <w:rPr>
                <w:iCs/>
              </w:rPr>
            </w:pPr>
            <w:r>
              <w:rPr>
                <w:iCs/>
              </w:rPr>
              <w:t>3 (</w:t>
            </w:r>
            <w:r w:rsidR="007B076A">
              <w:rPr>
                <w:iCs/>
              </w:rPr>
              <w:t>6%</w:t>
            </w:r>
            <w:r w:rsidR="004C7551">
              <w:rPr>
                <w:iCs/>
              </w:rPr>
              <w:t>;6%</w:t>
            </w:r>
            <w:r w:rsidR="007B076A">
              <w:rPr>
                <w:iCs/>
              </w:rPr>
              <w:t>)</w:t>
            </w:r>
          </w:p>
        </w:tc>
        <w:tc>
          <w:tcPr>
            <w:tcW w:w="1239" w:type="dxa"/>
          </w:tcPr>
          <w:p w14:paraId="1B455B45" w14:textId="61F68929" w:rsidR="007B076A" w:rsidRDefault="0054450F" w:rsidP="0052634C">
            <w:pPr>
              <w:spacing w:line="276" w:lineRule="auto"/>
              <w:rPr>
                <w:iCs/>
              </w:rPr>
            </w:pPr>
            <w:r>
              <w:rPr>
                <w:iCs/>
              </w:rPr>
              <w:t>0</w:t>
            </w:r>
            <w:r w:rsidR="00580D63">
              <w:rPr>
                <w:iCs/>
              </w:rPr>
              <w:t xml:space="preserve"> (0%</w:t>
            </w:r>
            <w:r w:rsidR="004C7551">
              <w:rPr>
                <w:iCs/>
              </w:rPr>
              <w:t>;0%</w:t>
            </w:r>
            <w:r w:rsidR="00580D63">
              <w:rPr>
                <w:iCs/>
              </w:rPr>
              <w:t>)</w:t>
            </w:r>
          </w:p>
        </w:tc>
      </w:tr>
      <w:tr w:rsidR="007B076A" w14:paraId="0EA51AAA" w14:textId="4D5BF432" w:rsidTr="46C78BCB">
        <w:tc>
          <w:tcPr>
            <w:tcW w:w="1586" w:type="dxa"/>
          </w:tcPr>
          <w:p w14:paraId="6C4D1528" w14:textId="5DB3301B" w:rsidR="007B076A" w:rsidRDefault="007B076A" w:rsidP="0052634C">
            <w:pPr>
              <w:spacing w:line="276" w:lineRule="auto"/>
              <w:rPr>
                <w:iCs/>
              </w:rPr>
            </w:pPr>
            <w:r>
              <w:rPr>
                <w:iCs/>
              </w:rPr>
              <w:t>Plyometric</w:t>
            </w:r>
          </w:p>
        </w:tc>
        <w:tc>
          <w:tcPr>
            <w:tcW w:w="1236" w:type="dxa"/>
          </w:tcPr>
          <w:p w14:paraId="64319B89" w14:textId="58B1C8AF" w:rsidR="007B076A" w:rsidRDefault="009A373F" w:rsidP="0052634C">
            <w:pPr>
              <w:spacing w:line="276" w:lineRule="auto"/>
              <w:rPr>
                <w:iCs/>
              </w:rPr>
            </w:pPr>
            <w:r>
              <w:rPr>
                <w:iCs/>
              </w:rPr>
              <w:t>12</w:t>
            </w:r>
            <w:r w:rsidR="007B076A">
              <w:rPr>
                <w:iCs/>
              </w:rPr>
              <w:t xml:space="preserve"> </w:t>
            </w:r>
            <w:r>
              <w:rPr>
                <w:iCs/>
              </w:rPr>
              <w:t>(</w:t>
            </w:r>
            <w:r w:rsidR="007B076A">
              <w:rPr>
                <w:iCs/>
              </w:rPr>
              <w:t>3%</w:t>
            </w:r>
            <w:r w:rsidR="004C7551">
              <w:rPr>
                <w:iCs/>
              </w:rPr>
              <w:t>3%</w:t>
            </w:r>
            <w:r w:rsidR="007B076A">
              <w:rPr>
                <w:iCs/>
              </w:rPr>
              <w:t>)</w:t>
            </w:r>
          </w:p>
        </w:tc>
        <w:tc>
          <w:tcPr>
            <w:tcW w:w="1239" w:type="dxa"/>
          </w:tcPr>
          <w:p w14:paraId="5E28C849" w14:textId="5CB73BDD" w:rsidR="007B076A" w:rsidRDefault="00DB6B89" w:rsidP="0052634C">
            <w:pPr>
              <w:spacing w:line="276" w:lineRule="auto"/>
              <w:rPr>
                <w:iCs/>
              </w:rPr>
            </w:pPr>
            <w:r>
              <w:rPr>
                <w:iCs/>
              </w:rPr>
              <w:t>2 (</w:t>
            </w:r>
            <w:r w:rsidR="007B076A">
              <w:rPr>
                <w:iCs/>
              </w:rPr>
              <w:t>1%</w:t>
            </w:r>
            <w:r w:rsidR="004C7551">
              <w:rPr>
                <w:iCs/>
              </w:rPr>
              <w:t>;2%</w:t>
            </w:r>
            <w:r w:rsidR="007B076A">
              <w:rPr>
                <w:iCs/>
              </w:rPr>
              <w:t>)</w:t>
            </w:r>
          </w:p>
        </w:tc>
        <w:tc>
          <w:tcPr>
            <w:tcW w:w="1239" w:type="dxa"/>
          </w:tcPr>
          <w:p w14:paraId="5D98797A" w14:textId="6C39A851" w:rsidR="007B076A" w:rsidRDefault="0051531E" w:rsidP="0052634C">
            <w:pPr>
              <w:spacing w:line="276" w:lineRule="auto"/>
              <w:rPr>
                <w:iCs/>
              </w:rPr>
            </w:pPr>
            <w:r>
              <w:rPr>
                <w:iCs/>
              </w:rPr>
              <w:t>4</w:t>
            </w:r>
            <w:r w:rsidR="007B076A">
              <w:rPr>
                <w:iCs/>
              </w:rPr>
              <w:t xml:space="preserve"> </w:t>
            </w:r>
            <w:r>
              <w:rPr>
                <w:iCs/>
              </w:rPr>
              <w:t>(</w:t>
            </w:r>
            <w:r w:rsidR="007B076A">
              <w:rPr>
                <w:iCs/>
              </w:rPr>
              <w:t>4%</w:t>
            </w:r>
            <w:r w:rsidR="004C7551">
              <w:rPr>
                <w:iCs/>
              </w:rPr>
              <w:t>4%</w:t>
            </w:r>
            <w:r w:rsidR="007B076A">
              <w:rPr>
                <w:iCs/>
              </w:rPr>
              <w:t>)</w:t>
            </w:r>
          </w:p>
        </w:tc>
        <w:tc>
          <w:tcPr>
            <w:tcW w:w="1238" w:type="dxa"/>
          </w:tcPr>
          <w:p w14:paraId="3D7918CF" w14:textId="7F4C3F18" w:rsidR="007B076A" w:rsidRDefault="00820E24" w:rsidP="0052634C">
            <w:pPr>
              <w:spacing w:line="276" w:lineRule="auto"/>
              <w:rPr>
                <w:iCs/>
              </w:rPr>
            </w:pPr>
            <w:r>
              <w:rPr>
                <w:iCs/>
              </w:rPr>
              <w:t>3 (</w:t>
            </w:r>
            <w:r w:rsidR="007B076A">
              <w:rPr>
                <w:iCs/>
              </w:rPr>
              <w:t>4%</w:t>
            </w:r>
            <w:r w:rsidR="004C7551">
              <w:rPr>
                <w:iCs/>
              </w:rPr>
              <w:t>;5%</w:t>
            </w:r>
            <w:r w:rsidR="007B076A">
              <w:rPr>
                <w:iCs/>
              </w:rPr>
              <w:t>)</w:t>
            </w:r>
          </w:p>
        </w:tc>
        <w:tc>
          <w:tcPr>
            <w:tcW w:w="1239" w:type="dxa"/>
          </w:tcPr>
          <w:p w14:paraId="69B98EB8" w14:textId="2E317F97" w:rsidR="007B076A" w:rsidRDefault="00820E24" w:rsidP="0052634C">
            <w:pPr>
              <w:spacing w:line="276" w:lineRule="auto"/>
              <w:rPr>
                <w:iCs/>
              </w:rPr>
            </w:pPr>
            <w:r>
              <w:rPr>
                <w:iCs/>
              </w:rPr>
              <w:t>1 (</w:t>
            </w:r>
            <w:r w:rsidR="007B076A">
              <w:rPr>
                <w:iCs/>
              </w:rPr>
              <w:t>2%</w:t>
            </w:r>
            <w:r w:rsidR="004C7551">
              <w:rPr>
                <w:iCs/>
              </w:rPr>
              <w:t>;2%</w:t>
            </w:r>
            <w:r w:rsidR="007B076A">
              <w:rPr>
                <w:iCs/>
              </w:rPr>
              <w:t>)</w:t>
            </w:r>
          </w:p>
        </w:tc>
        <w:tc>
          <w:tcPr>
            <w:tcW w:w="1239" w:type="dxa"/>
          </w:tcPr>
          <w:p w14:paraId="5BB40F42" w14:textId="6E4CDDDE" w:rsidR="007B076A" w:rsidRDefault="0054450F" w:rsidP="0052634C">
            <w:pPr>
              <w:spacing w:line="276" w:lineRule="auto"/>
              <w:rPr>
                <w:iCs/>
              </w:rPr>
            </w:pPr>
            <w:r>
              <w:rPr>
                <w:iCs/>
              </w:rPr>
              <w:t>2</w:t>
            </w:r>
            <w:r w:rsidR="00580D63">
              <w:rPr>
                <w:iCs/>
              </w:rPr>
              <w:t xml:space="preserve"> (5%</w:t>
            </w:r>
            <w:r w:rsidR="004C7551">
              <w:rPr>
                <w:iCs/>
              </w:rPr>
              <w:t>;6%</w:t>
            </w:r>
            <w:r w:rsidR="00580D63">
              <w:rPr>
                <w:iCs/>
              </w:rPr>
              <w:t>)</w:t>
            </w:r>
          </w:p>
        </w:tc>
      </w:tr>
      <w:tr w:rsidR="007B076A" w14:paraId="39FC03EA" w14:textId="4E0173BB" w:rsidTr="008D1DA8">
        <w:tc>
          <w:tcPr>
            <w:tcW w:w="1586" w:type="dxa"/>
            <w:shd w:val="clear" w:color="auto" w:fill="FFFFFF" w:themeFill="background1"/>
          </w:tcPr>
          <w:p w14:paraId="65A95969" w14:textId="77777777" w:rsidR="007B076A" w:rsidRDefault="007B076A" w:rsidP="0052634C">
            <w:pPr>
              <w:spacing w:line="276" w:lineRule="auto"/>
              <w:rPr>
                <w:iCs/>
              </w:rPr>
            </w:pPr>
          </w:p>
        </w:tc>
        <w:tc>
          <w:tcPr>
            <w:tcW w:w="1236" w:type="dxa"/>
            <w:shd w:val="clear" w:color="auto" w:fill="FFFFFF" w:themeFill="background1"/>
          </w:tcPr>
          <w:p w14:paraId="2CD7F40D" w14:textId="77777777" w:rsidR="007B076A" w:rsidRDefault="007B076A" w:rsidP="0052634C">
            <w:pPr>
              <w:spacing w:line="276" w:lineRule="auto"/>
              <w:rPr>
                <w:iCs/>
              </w:rPr>
            </w:pPr>
          </w:p>
        </w:tc>
        <w:tc>
          <w:tcPr>
            <w:tcW w:w="1239" w:type="dxa"/>
            <w:shd w:val="clear" w:color="auto" w:fill="FFFFFF" w:themeFill="background1"/>
          </w:tcPr>
          <w:p w14:paraId="73BA6791" w14:textId="77777777" w:rsidR="007B076A" w:rsidRDefault="007B076A" w:rsidP="0052634C">
            <w:pPr>
              <w:spacing w:line="276" w:lineRule="auto"/>
              <w:rPr>
                <w:iCs/>
              </w:rPr>
            </w:pPr>
          </w:p>
        </w:tc>
        <w:tc>
          <w:tcPr>
            <w:tcW w:w="1239" w:type="dxa"/>
            <w:shd w:val="clear" w:color="auto" w:fill="FFFFFF" w:themeFill="background1"/>
          </w:tcPr>
          <w:p w14:paraId="51242581" w14:textId="77777777" w:rsidR="007B076A" w:rsidRDefault="007B076A" w:rsidP="0052634C">
            <w:pPr>
              <w:spacing w:line="276" w:lineRule="auto"/>
              <w:rPr>
                <w:iCs/>
              </w:rPr>
            </w:pPr>
          </w:p>
        </w:tc>
        <w:tc>
          <w:tcPr>
            <w:tcW w:w="1238" w:type="dxa"/>
            <w:shd w:val="clear" w:color="auto" w:fill="FFFFFF" w:themeFill="background1"/>
          </w:tcPr>
          <w:p w14:paraId="72BF9B34" w14:textId="77777777" w:rsidR="007B076A" w:rsidRDefault="007B076A" w:rsidP="0052634C">
            <w:pPr>
              <w:spacing w:line="276" w:lineRule="auto"/>
              <w:rPr>
                <w:iCs/>
              </w:rPr>
            </w:pPr>
          </w:p>
        </w:tc>
        <w:tc>
          <w:tcPr>
            <w:tcW w:w="1239" w:type="dxa"/>
            <w:shd w:val="clear" w:color="auto" w:fill="FFFFFF" w:themeFill="background1"/>
          </w:tcPr>
          <w:p w14:paraId="3BB215D3" w14:textId="77777777" w:rsidR="007B076A" w:rsidRDefault="007B076A" w:rsidP="0052634C">
            <w:pPr>
              <w:spacing w:line="276" w:lineRule="auto"/>
              <w:rPr>
                <w:iCs/>
              </w:rPr>
            </w:pPr>
          </w:p>
        </w:tc>
        <w:tc>
          <w:tcPr>
            <w:tcW w:w="1239" w:type="dxa"/>
            <w:shd w:val="clear" w:color="auto" w:fill="FFFFFF" w:themeFill="background1"/>
          </w:tcPr>
          <w:p w14:paraId="28C1A86C" w14:textId="77777777" w:rsidR="007B076A" w:rsidRDefault="007B076A" w:rsidP="0052634C">
            <w:pPr>
              <w:spacing w:line="276" w:lineRule="auto"/>
              <w:rPr>
                <w:iCs/>
              </w:rPr>
            </w:pPr>
          </w:p>
        </w:tc>
      </w:tr>
      <w:tr w:rsidR="007B076A" w14:paraId="40AEAAEF" w14:textId="720111ED" w:rsidTr="46C78BCB">
        <w:tc>
          <w:tcPr>
            <w:tcW w:w="1586" w:type="dxa"/>
          </w:tcPr>
          <w:p w14:paraId="45EC102D" w14:textId="47EB9553" w:rsidR="007B076A" w:rsidRPr="00CD2082" w:rsidRDefault="007B076A" w:rsidP="0052634C">
            <w:pPr>
              <w:spacing w:line="276" w:lineRule="auto"/>
              <w:rPr>
                <w:b/>
                <w:bCs/>
                <w:iCs/>
              </w:rPr>
            </w:pPr>
            <w:r>
              <w:rPr>
                <w:b/>
                <w:bCs/>
                <w:iCs/>
              </w:rPr>
              <w:t>Flexibility</w:t>
            </w:r>
          </w:p>
        </w:tc>
        <w:tc>
          <w:tcPr>
            <w:tcW w:w="1236" w:type="dxa"/>
          </w:tcPr>
          <w:p w14:paraId="0C355EE6" w14:textId="781AA7C8" w:rsidR="007B076A" w:rsidRDefault="00820E24" w:rsidP="0052634C">
            <w:pPr>
              <w:spacing w:line="276" w:lineRule="auto"/>
            </w:pPr>
            <w:r>
              <w:t>2</w:t>
            </w:r>
            <w:r w:rsidR="657D77E1">
              <w:t>08</w:t>
            </w:r>
            <w:r>
              <w:t xml:space="preserve"> (</w:t>
            </w:r>
            <w:r w:rsidR="007B076A">
              <w:t>4</w:t>
            </w:r>
            <w:r w:rsidR="43A49249">
              <w:t>8</w:t>
            </w:r>
            <w:r w:rsidR="007B076A">
              <w:t>%)</w:t>
            </w:r>
          </w:p>
        </w:tc>
        <w:tc>
          <w:tcPr>
            <w:tcW w:w="1239" w:type="dxa"/>
          </w:tcPr>
          <w:p w14:paraId="76865B25" w14:textId="613C61B7" w:rsidR="007B076A" w:rsidRDefault="00820E24" w:rsidP="0052634C">
            <w:pPr>
              <w:spacing w:line="276" w:lineRule="auto"/>
              <w:rPr>
                <w:iCs/>
              </w:rPr>
            </w:pPr>
            <w:r>
              <w:rPr>
                <w:iCs/>
              </w:rPr>
              <w:t>103 (</w:t>
            </w:r>
            <w:r w:rsidR="007B076A">
              <w:rPr>
                <w:iCs/>
              </w:rPr>
              <w:t>62%)</w:t>
            </w:r>
          </w:p>
        </w:tc>
        <w:tc>
          <w:tcPr>
            <w:tcW w:w="1239" w:type="dxa"/>
          </w:tcPr>
          <w:p w14:paraId="1B63801F" w14:textId="121CF405" w:rsidR="007B076A" w:rsidRDefault="00820E24" w:rsidP="0052634C">
            <w:pPr>
              <w:spacing w:line="276" w:lineRule="auto"/>
              <w:rPr>
                <w:iCs/>
              </w:rPr>
            </w:pPr>
            <w:r>
              <w:rPr>
                <w:iCs/>
              </w:rPr>
              <w:t>20</w:t>
            </w:r>
            <w:r w:rsidR="007B076A">
              <w:rPr>
                <w:iCs/>
              </w:rPr>
              <w:t xml:space="preserve"> </w:t>
            </w:r>
            <w:r>
              <w:rPr>
                <w:iCs/>
              </w:rPr>
              <w:t>(</w:t>
            </w:r>
            <w:r w:rsidR="007B076A">
              <w:rPr>
                <w:iCs/>
              </w:rPr>
              <w:t>20%)</w:t>
            </w:r>
          </w:p>
        </w:tc>
        <w:tc>
          <w:tcPr>
            <w:tcW w:w="1238" w:type="dxa"/>
          </w:tcPr>
          <w:p w14:paraId="5336EB78" w14:textId="4466240C" w:rsidR="007B076A" w:rsidRDefault="2266C236" w:rsidP="0052634C">
            <w:pPr>
              <w:spacing w:line="276" w:lineRule="auto"/>
            </w:pPr>
            <w:r>
              <w:t>53 (</w:t>
            </w:r>
            <w:r w:rsidR="2A8DE908">
              <w:t>65%)</w:t>
            </w:r>
          </w:p>
        </w:tc>
        <w:tc>
          <w:tcPr>
            <w:tcW w:w="1239" w:type="dxa"/>
          </w:tcPr>
          <w:p w14:paraId="7CF43BFF" w14:textId="785CBF4D" w:rsidR="007B076A" w:rsidRDefault="00820E24" w:rsidP="0052634C">
            <w:pPr>
              <w:spacing w:line="276" w:lineRule="auto"/>
            </w:pPr>
            <w:r>
              <w:t>1</w:t>
            </w:r>
            <w:r w:rsidR="59A345E5">
              <w:t>4</w:t>
            </w:r>
            <w:r w:rsidR="007B076A">
              <w:t xml:space="preserve"> </w:t>
            </w:r>
            <w:r>
              <w:t>(</w:t>
            </w:r>
            <w:r w:rsidR="007B076A">
              <w:t>2</w:t>
            </w:r>
            <w:r w:rsidR="3A99E208">
              <w:t>6</w:t>
            </w:r>
            <w:r w:rsidR="007B076A">
              <w:t>%)</w:t>
            </w:r>
          </w:p>
        </w:tc>
        <w:tc>
          <w:tcPr>
            <w:tcW w:w="1239" w:type="dxa"/>
          </w:tcPr>
          <w:p w14:paraId="2E19A277" w14:textId="7E229ED4" w:rsidR="007B076A" w:rsidRDefault="612A297A" w:rsidP="0052634C">
            <w:pPr>
              <w:spacing w:line="276" w:lineRule="auto"/>
            </w:pPr>
            <w:r>
              <w:t>18</w:t>
            </w:r>
            <w:r w:rsidR="7D847F47">
              <w:t xml:space="preserve"> </w:t>
            </w:r>
            <w:r w:rsidR="009C5915">
              <w:t>(</w:t>
            </w:r>
            <w:r w:rsidR="6BE6B869">
              <w:t>47</w:t>
            </w:r>
            <w:r w:rsidR="009C5915">
              <w:t>%)</w:t>
            </w:r>
          </w:p>
        </w:tc>
      </w:tr>
      <w:tr w:rsidR="00685903" w:rsidRPr="00C115BB" w14:paraId="737D491C" w14:textId="77777777" w:rsidTr="46C78BCB">
        <w:tc>
          <w:tcPr>
            <w:tcW w:w="1586" w:type="dxa"/>
          </w:tcPr>
          <w:p w14:paraId="32FBFDC8" w14:textId="76D438E3" w:rsidR="00685903" w:rsidRPr="00C115BB" w:rsidRDefault="00685903" w:rsidP="0052634C">
            <w:pPr>
              <w:spacing w:line="276" w:lineRule="auto"/>
              <w:rPr>
                <w:bCs/>
                <w:iCs/>
                <w:highlight w:val="yellow"/>
              </w:rPr>
            </w:pPr>
            <w:r w:rsidRPr="00B42C1D">
              <w:rPr>
                <w:bCs/>
                <w:iCs/>
              </w:rPr>
              <w:t>Traditional stretching</w:t>
            </w:r>
          </w:p>
        </w:tc>
        <w:tc>
          <w:tcPr>
            <w:tcW w:w="1236" w:type="dxa"/>
          </w:tcPr>
          <w:p w14:paraId="0843BC2C" w14:textId="4A746A6B" w:rsidR="00685903" w:rsidRPr="00B42C1D" w:rsidRDefault="00CD380B" w:rsidP="0052634C">
            <w:pPr>
              <w:spacing w:line="276" w:lineRule="auto"/>
            </w:pPr>
            <w:r>
              <w:t>9</w:t>
            </w:r>
            <w:r w:rsidR="0778BBAC">
              <w:t>5</w:t>
            </w:r>
            <w:r>
              <w:t xml:space="preserve"> (22%</w:t>
            </w:r>
            <w:r w:rsidR="1A284CB6">
              <w:t>;46%</w:t>
            </w:r>
            <w:r>
              <w:t>)</w:t>
            </w:r>
          </w:p>
        </w:tc>
        <w:tc>
          <w:tcPr>
            <w:tcW w:w="1239" w:type="dxa"/>
          </w:tcPr>
          <w:p w14:paraId="2996A7A5" w14:textId="5879593F" w:rsidR="00685903" w:rsidRPr="00B42C1D" w:rsidRDefault="00CD380B" w:rsidP="0052634C">
            <w:pPr>
              <w:spacing w:line="276" w:lineRule="auto"/>
            </w:pPr>
            <w:r>
              <w:t>42 (25%</w:t>
            </w:r>
            <w:r w:rsidR="7BB3F327">
              <w:t>;41%</w:t>
            </w:r>
            <w:r>
              <w:t>)</w:t>
            </w:r>
          </w:p>
        </w:tc>
        <w:tc>
          <w:tcPr>
            <w:tcW w:w="1239" w:type="dxa"/>
          </w:tcPr>
          <w:p w14:paraId="13AA3F9C" w14:textId="57C7F7FD" w:rsidR="00685903" w:rsidRPr="00B42C1D" w:rsidRDefault="75D18EE5" w:rsidP="0052634C">
            <w:pPr>
              <w:spacing w:line="276" w:lineRule="auto"/>
            </w:pPr>
            <w:r>
              <w:t xml:space="preserve">6 </w:t>
            </w:r>
            <w:r w:rsidR="00CD380B">
              <w:t>(</w:t>
            </w:r>
            <w:r w:rsidR="5B76B529">
              <w:t>6</w:t>
            </w:r>
            <w:r w:rsidR="00CD380B">
              <w:t>%</w:t>
            </w:r>
            <w:r w:rsidR="5E106BFA">
              <w:t>;30%</w:t>
            </w:r>
            <w:r w:rsidR="00CD380B">
              <w:t>)</w:t>
            </w:r>
          </w:p>
        </w:tc>
        <w:tc>
          <w:tcPr>
            <w:tcW w:w="1238" w:type="dxa"/>
          </w:tcPr>
          <w:p w14:paraId="0556EEE9" w14:textId="749570D3" w:rsidR="00685903" w:rsidRPr="00B42C1D" w:rsidRDefault="00CD380B" w:rsidP="0052634C">
            <w:pPr>
              <w:spacing w:line="276" w:lineRule="auto"/>
            </w:pPr>
            <w:r>
              <w:t>30 (37%</w:t>
            </w:r>
            <w:r w:rsidR="23BB11BF">
              <w:t>;57%</w:t>
            </w:r>
            <w:r>
              <w:t>)</w:t>
            </w:r>
          </w:p>
        </w:tc>
        <w:tc>
          <w:tcPr>
            <w:tcW w:w="1239" w:type="dxa"/>
          </w:tcPr>
          <w:p w14:paraId="73180CB3" w14:textId="74EFD4CC" w:rsidR="00685903" w:rsidRPr="00B42C1D" w:rsidRDefault="00CD380B" w:rsidP="0052634C">
            <w:pPr>
              <w:spacing w:line="276" w:lineRule="auto"/>
            </w:pPr>
            <w:r>
              <w:t>6 (11%</w:t>
            </w:r>
            <w:r w:rsidR="3B7675A0">
              <w:t>;43%</w:t>
            </w:r>
            <w:r>
              <w:t>)</w:t>
            </w:r>
          </w:p>
        </w:tc>
        <w:tc>
          <w:tcPr>
            <w:tcW w:w="1239" w:type="dxa"/>
          </w:tcPr>
          <w:p w14:paraId="7CAC27BC" w14:textId="545F8663" w:rsidR="00685903" w:rsidRPr="00B42C1D" w:rsidRDefault="00CD380B" w:rsidP="0052634C">
            <w:pPr>
              <w:spacing w:line="276" w:lineRule="auto"/>
            </w:pPr>
            <w:r>
              <w:t>1</w:t>
            </w:r>
            <w:r w:rsidR="4FB065E6">
              <w:t>1</w:t>
            </w:r>
            <w:r>
              <w:t xml:space="preserve"> (2</w:t>
            </w:r>
            <w:r w:rsidR="3FEAC2DC">
              <w:t>9</w:t>
            </w:r>
            <w:r>
              <w:t>%</w:t>
            </w:r>
            <w:r w:rsidR="4CA33330">
              <w:t>;61%</w:t>
            </w:r>
            <w:r>
              <w:t>)</w:t>
            </w:r>
          </w:p>
        </w:tc>
      </w:tr>
      <w:tr w:rsidR="007B076A" w14:paraId="3D189523" w14:textId="69CA3732" w:rsidTr="46C78BCB">
        <w:tc>
          <w:tcPr>
            <w:tcW w:w="1586" w:type="dxa"/>
          </w:tcPr>
          <w:p w14:paraId="23FBE8DC" w14:textId="53184CD4" w:rsidR="007B076A" w:rsidRDefault="007B076A" w:rsidP="0052634C">
            <w:pPr>
              <w:spacing w:line="276" w:lineRule="auto"/>
              <w:rPr>
                <w:iCs/>
              </w:rPr>
            </w:pPr>
            <w:r>
              <w:rPr>
                <w:iCs/>
              </w:rPr>
              <w:t>Dynamic</w:t>
            </w:r>
            <w:r w:rsidR="003D1F7F">
              <w:rPr>
                <w:iCs/>
              </w:rPr>
              <w:t>/ROM</w:t>
            </w:r>
          </w:p>
        </w:tc>
        <w:tc>
          <w:tcPr>
            <w:tcW w:w="1236" w:type="dxa"/>
          </w:tcPr>
          <w:p w14:paraId="1220F93F" w14:textId="0ED4A9EB" w:rsidR="007B076A" w:rsidRDefault="00820E24" w:rsidP="0052634C">
            <w:pPr>
              <w:spacing w:line="276" w:lineRule="auto"/>
            </w:pPr>
            <w:r>
              <w:t>7</w:t>
            </w:r>
            <w:r w:rsidR="0ACF5A02">
              <w:t>2</w:t>
            </w:r>
            <w:r w:rsidR="007B076A">
              <w:t xml:space="preserve"> </w:t>
            </w:r>
            <w:r>
              <w:t>(</w:t>
            </w:r>
            <w:r w:rsidR="007B076A">
              <w:t>1</w:t>
            </w:r>
            <w:r w:rsidR="33F0EFD3">
              <w:t>7</w:t>
            </w:r>
            <w:r w:rsidR="007B076A">
              <w:t>%</w:t>
            </w:r>
            <w:r w:rsidR="6701F842">
              <w:t>;35%</w:t>
            </w:r>
            <w:r w:rsidR="007B076A">
              <w:t>)</w:t>
            </w:r>
          </w:p>
        </w:tc>
        <w:tc>
          <w:tcPr>
            <w:tcW w:w="1239" w:type="dxa"/>
          </w:tcPr>
          <w:p w14:paraId="160697A4" w14:textId="7B611432" w:rsidR="007B076A" w:rsidRDefault="00820E24" w:rsidP="0052634C">
            <w:pPr>
              <w:spacing w:line="276" w:lineRule="auto"/>
            </w:pPr>
            <w:r>
              <w:t>6</w:t>
            </w:r>
            <w:r w:rsidR="1E970807">
              <w:t>3</w:t>
            </w:r>
            <w:r w:rsidR="007B076A">
              <w:t xml:space="preserve"> </w:t>
            </w:r>
            <w:r>
              <w:t>(</w:t>
            </w:r>
            <w:r w:rsidR="007B076A">
              <w:t>3</w:t>
            </w:r>
            <w:r w:rsidR="3438C07B">
              <w:t>8</w:t>
            </w:r>
            <w:r w:rsidR="007B076A">
              <w:t>%</w:t>
            </w:r>
            <w:r w:rsidR="0154A997">
              <w:t>;61%</w:t>
            </w:r>
            <w:r w:rsidR="007B076A">
              <w:t>)</w:t>
            </w:r>
          </w:p>
        </w:tc>
        <w:tc>
          <w:tcPr>
            <w:tcW w:w="1239" w:type="dxa"/>
          </w:tcPr>
          <w:p w14:paraId="15F4396F" w14:textId="0BC18717" w:rsidR="007B076A" w:rsidRDefault="00820E24" w:rsidP="0052634C">
            <w:pPr>
              <w:spacing w:line="276" w:lineRule="auto"/>
            </w:pPr>
            <w:r>
              <w:t>0</w:t>
            </w:r>
            <w:r w:rsidR="007B076A">
              <w:t xml:space="preserve"> </w:t>
            </w:r>
            <w:r>
              <w:t>(</w:t>
            </w:r>
            <w:r w:rsidR="007B076A">
              <w:t>0%</w:t>
            </w:r>
            <w:r w:rsidR="1E11535F">
              <w:t>;0%</w:t>
            </w:r>
            <w:r w:rsidR="007B076A">
              <w:t>)</w:t>
            </w:r>
          </w:p>
        </w:tc>
        <w:tc>
          <w:tcPr>
            <w:tcW w:w="1238" w:type="dxa"/>
          </w:tcPr>
          <w:p w14:paraId="554C1C68" w14:textId="4C9EAB05" w:rsidR="007B076A" w:rsidRDefault="00820E24" w:rsidP="0052634C">
            <w:pPr>
              <w:spacing w:line="276" w:lineRule="auto"/>
            </w:pPr>
            <w:r>
              <w:t>5</w:t>
            </w:r>
            <w:r w:rsidR="007B076A">
              <w:t xml:space="preserve"> </w:t>
            </w:r>
            <w:r>
              <w:t>(</w:t>
            </w:r>
            <w:r w:rsidR="007B076A">
              <w:t>6%</w:t>
            </w:r>
            <w:r w:rsidR="2C01198B">
              <w:t>;9%</w:t>
            </w:r>
            <w:r w:rsidR="007B076A">
              <w:t>)</w:t>
            </w:r>
          </w:p>
        </w:tc>
        <w:tc>
          <w:tcPr>
            <w:tcW w:w="1239" w:type="dxa"/>
          </w:tcPr>
          <w:p w14:paraId="63EAADC0" w14:textId="52D3400B" w:rsidR="007B076A" w:rsidRDefault="00820E24" w:rsidP="0052634C">
            <w:pPr>
              <w:spacing w:line="276" w:lineRule="auto"/>
            </w:pPr>
            <w:r>
              <w:t>1</w:t>
            </w:r>
            <w:r w:rsidR="007B076A">
              <w:t xml:space="preserve"> </w:t>
            </w:r>
            <w:r>
              <w:t>(</w:t>
            </w:r>
            <w:r w:rsidR="007B076A">
              <w:t>2%</w:t>
            </w:r>
            <w:r w:rsidR="71D0311D">
              <w:t>;7%</w:t>
            </w:r>
            <w:r w:rsidR="007B076A">
              <w:t>)</w:t>
            </w:r>
          </w:p>
        </w:tc>
        <w:tc>
          <w:tcPr>
            <w:tcW w:w="1239" w:type="dxa"/>
          </w:tcPr>
          <w:p w14:paraId="0DB464C1" w14:textId="72E7CBB9" w:rsidR="007B076A" w:rsidRDefault="00E93E12" w:rsidP="0052634C">
            <w:pPr>
              <w:spacing w:line="276" w:lineRule="auto"/>
            </w:pPr>
            <w:r>
              <w:t>3</w:t>
            </w:r>
            <w:r w:rsidR="009C5915">
              <w:t xml:space="preserve"> (8%</w:t>
            </w:r>
            <w:r w:rsidR="099BC6A2">
              <w:t>;17%</w:t>
            </w:r>
            <w:r w:rsidR="009C5915">
              <w:t>)</w:t>
            </w:r>
          </w:p>
        </w:tc>
      </w:tr>
      <w:tr w:rsidR="007B076A" w14:paraId="4E2D84F7" w14:textId="41C2834A" w:rsidTr="46C78BCB">
        <w:tc>
          <w:tcPr>
            <w:tcW w:w="1586" w:type="dxa"/>
          </w:tcPr>
          <w:p w14:paraId="6925FE7C" w14:textId="7DC89C18" w:rsidR="007B076A" w:rsidRDefault="007B076A" w:rsidP="0052634C">
            <w:pPr>
              <w:spacing w:line="276" w:lineRule="auto"/>
              <w:rPr>
                <w:iCs/>
              </w:rPr>
            </w:pPr>
            <w:r>
              <w:rPr>
                <w:iCs/>
              </w:rPr>
              <w:t>PNF</w:t>
            </w:r>
          </w:p>
        </w:tc>
        <w:tc>
          <w:tcPr>
            <w:tcW w:w="1236" w:type="dxa"/>
          </w:tcPr>
          <w:p w14:paraId="71A0C092" w14:textId="6776E294" w:rsidR="007B076A" w:rsidRDefault="00820E24" w:rsidP="0052634C">
            <w:pPr>
              <w:spacing w:line="276" w:lineRule="auto"/>
            </w:pPr>
            <w:r>
              <w:t>14</w:t>
            </w:r>
            <w:r w:rsidR="007B076A">
              <w:t xml:space="preserve"> </w:t>
            </w:r>
            <w:r>
              <w:t>(</w:t>
            </w:r>
            <w:r w:rsidR="007B076A">
              <w:t>3%</w:t>
            </w:r>
            <w:r w:rsidR="7F5CA823">
              <w:t>;</w:t>
            </w:r>
            <w:r w:rsidR="291434A7">
              <w:t>7%</w:t>
            </w:r>
            <w:r w:rsidR="007B076A">
              <w:t>)</w:t>
            </w:r>
          </w:p>
        </w:tc>
        <w:tc>
          <w:tcPr>
            <w:tcW w:w="1239" w:type="dxa"/>
          </w:tcPr>
          <w:p w14:paraId="3F08A5F6" w14:textId="4C186818" w:rsidR="007B076A" w:rsidRDefault="00820E24" w:rsidP="0052634C">
            <w:pPr>
              <w:spacing w:line="276" w:lineRule="auto"/>
            </w:pPr>
            <w:r>
              <w:t>8</w:t>
            </w:r>
            <w:r w:rsidR="007B076A">
              <w:t xml:space="preserve"> </w:t>
            </w:r>
            <w:r>
              <w:t>(</w:t>
            </w:r>
            <w:r w:rsidR="007B076A">
              <w:t>5%</w:t>
            </w:r>
            <w:r w:rsidR="3A2C513A">
              <w:t>;8%</w:t>
            </w:r>
            <w:r w:rsidR="007B076A">
              <w:t>)</w:t>
            </w:r>
          </w:p>
        </w:tc>
        <w:tc>
          <w:tcPr>
            <w:tcW w:w="1239" w:type="dxa"/>
          </w:tcPr>
          <w:p w14:paraId="49D3B133" w14:textId="5AA7758C" w:rsidR="007B076A" w:rsidRDefault="00820E24" w:rsidP="0052634C">
            <w:pPr>
              <w:spacing w:line="276" w:lineRule="auto"/>
            </w:pPr>
            <w:r>
              <w:t>0</w:t>
            </w:r>
            <w:r w:rsidR="007B076A">
              <w:t xml:space="preserve"> </w:t>
            </w:r>
            <w:r>
              <w:t>(</w:t>
            </w:r>
            <w:r w:rsidR="007B076A">
              <w:t>0%</w:t>
            </w:r>
            <w:r w:rsidR="591833F6">
              <w:t>;0%</w:t>
            </w:r>
            <w:r w:rsidR="007B076A">
              <w:t>)</w:t>
            </w:r>
          </w:p>
        </w:tc>
        <w:tc>
          <w:tcPr>
            <w:tcW w:w="1238" w:type="dxa"/>
          </w:tcPr>
          <w:p w14:paraId="5941BB68" w14:textId="1B0AECAE" w:rsidR="007B076A" w:rsidRDefault="00820E24" w:rsidP="0052634C">
            <w:pPr>
              <w:spacing w:line="276" w:lineRule="auto"/>
            </w:pPr>
            <w:r>
              <w:t>4</w:t>
            </w:r>
            <w:r w:rsidR="007B076A">
              <w:t xml:space="preserve"> </w:t>
            </w:r>
            <w:r>
              <w:t>(</w:t>
            </w:r>
            <w:r w:rsidR="007B076A">
              <w:t>5%</w:t>
            </w:r>
            <w:r w:rsidR="75CC7FAD">
              <w:t>;8%</w:t>
            </w:r>
            <w:r w:rsidR="007B076A">
              <w:t>)</w:t>
            </w:r>
          </w:p>
        </w:tc>
        <w:tc>
          <w:tcPr>
            <w:tcW w:w="1239" w:type="dxa"/>
          </w:tcPr>
          <w:p w14:paraId="49BF625E" w14:textId="291F488E" w:rsidR="007B076A" w:rsidRDefault="00820E24" w:rsidP="0052634C">
            <w:pPr>
              <w:spacing w:line="276" w:lineRule="auto"/>
            </w:pPr>
            <w:r>
              <w:t>0 (</w:t>
            </w:r>
            <w:r w:rsidR="007B076A">
              <w:t>0</w:t>
            </w:r>
            <w:r>
              <w:t>%</w:t>
            </w:r>
            <w:r w:rsidR="2FF4F851">
              <w:t>;0%</w:t>
            </w:r>
            <w:r w:rsidR="007B076A">
              <w:t>)</w:t>
            </w:r>
          </w:p>
        </w:tc>
        <w:tc>
          <w:tcPr>
            <w:tcW w:w="1239" w:type="dxa"/>
          </w:tcPr>
          <w:p w14:paraId="5E338882" w14:textId="0B3C5324" w:rsidR="007B076A" w:rsidRDefault="00C31FCC" w:rsidP="0052634C">
            <w:pPr>
              <w:spacing w:line="276" w:lineRule="auto"/>
            </w:pPr>
            <w:r>
              <w:t>2</w:t>
            </w:r>
            <w:r w:rsidR="00744EAB">
              <w:t xml:space="preserve"> (5%</w:t>
            </w:r>
            <w:r w:rsidR="63A120C5">
              <w:t>;11%</w:t>
            </w:r>
            <w:r w:rsidR="00744EAB">
              <w:t>)</w:t>
            </w:r>
          </w:p>
        </w:tc>
      </w:tr>
      <w:tr w:rsidR="00685903" w14:paraId="2B3549CA" w14:textId="77777777" w:rsidTr="46C78BCB">
        <w:tc>
          <w:tcPr>
            <w:tcW w:w="1586" w:type="dxa"/>
          </w:tcPr>
          <w:p w14:paraId="400DD37A" w14:textId="3E458F95" w:rsidR="00685903" w:rsidRDefault="00685903" w:rsidP="0052634C">
            <w:pPr>
              <w:spacing w:line="276" w:lineRule="auto"/>
              <w:rPr>
                <w:iCs/>
              </w:rPr>
            </w:pPr>
            <w:r>
              <w:rPr>
                <w:iCs/>
              </w:rPr>
              <w:t>No detail</w:t>
            </w:r>
          </w:p>
        </w:tc>
        <w:tc>
          <w:tcPr>
            <w:tcW w:w="1236" w:type="dxa"/>
          </w:tcPr>
          <w:p w14:paraId="6D76CA22" w14:textId="0B2FAE8C" w:rsidR="00685903" w:rsidRDefault="00685903" w:rsidP="0052634C">
            <w:pPr>
              <w:spacing w:line="276" w:lineRule="auto"/>
            </w:pPr>
            <w:r>
              <w:t>7</w:t>
            </w:r>
            <w:r w:rsidR="2FC5A5DA">
              <w:t>5</w:t>
            </w:r>
            <w:r>
              <w:t xml:space="preserve"> (17%</w:t>
            </w:r>
            <w:r w:rsidR="3E812BAC">
              <w:t>;36%</w:t>
            </w:r>
            <w:r>
              <w:t>)</w:t>
            </w:r>
          </w:p>
        </w:tc>
        <w:tc>
          <w:tcPr>
            <w:tcW w:w="1239" w:type="dxa"/>
          </w:tcPr>
          <w:p w14:paraId="013559E4" w14:textId="0C6A884B" w:rsidR="00685903" w:rsidRDefault="00685903" w:rsidP="0052634C">
            <w:pPr>
              <w:spacing w:line="276" w:lineRule="auto"/>
            </w:pPr>
            <w:r>
              <w:t>32 (19%</w:t>
            </w:r>
            <w:r w:rsidR="22D81D10">
              <w:t>;31%</w:t>
            </w:r>
            <w:r>
              <w:t>)</w:t>
            </w:r>
          </w:p>
        </w:tc>
        <w:tc>
          <w:tcPr>
            <w:tcW w:w="1239" w:type="dxa"/>
          </w:tcPr>
          <w:p w14:paraId="76C623B7" w14:textId="1050C401" w:rsidR="00685903" w:rsidRDefault="00685903" w:rsidP="0052634C">
            <w:pPr>
              <w:spacing w:line="276" w:lineRule="auto"/>
            </w:pPr>
            <w:r>
              <w:t>1</w:t>
            </w:r>
            <w:r w:rsidR="2B28C17B">
              <w:t>2</w:t>
            </w:r>
            <w:r>
              <w:t xml:space="preserve"> (1</w:t>
            </w:r>
            <w:r w:rsidR="2A094D40">
              <w:t>2</w:t>
            </w:r>
            <w:r>
              <w:t>%</w:t>
            </w:r>
            <w:r w:rsidR="55BA63C4">
              <w:t>;60%</w:t>
            </w:r>
            <w:r>
              <w:t>)</w:t>
            </w:r>
          </w:p>
        </w:tc>
        <w:tc>
          <w:tcPr>
            <w:tcW w:w="1238" w:type="dxa"/>
          </w:tcPr>
          <w:p w14:paraId="2A5523E9" w14:textId="3D83FE74" w:rsidR="00685903" w:rsidRDefault="00685903" w:rsidP="0052634C">
            <w:pPr>
              <w:spacing w:line="276" w:lineRule="auto"/>
            </w:pPr>
            <w:r>
              <w:t>17 (21%</w:t>
            </w:r>
            <w:r w:rsidR="147A538B">
              <w:t>;32%</w:t>
            </w:r>
            <w:r>
              <w:t>)</w:t>
            </w:r>
          </w:p>
        </w:tc>
        <w:tc>
          <w:tcPr>
            <w:tcW w:w="1239" w:type="dxa"/>
          </w:tcPr>
          <w:p w14:paraId="1F4F6D66" w14:textId="1DA45040" w:rsidR="00685903" w:rsidRDefault="00685903" w:rsidP="0052634C">
            <w:pPr>
              <w:spacing w:line="276" w:lineRule="auto"/>
            </w:pPr>
            <w:r>
              <w:t>7 (13%</w:t>
            </w:r>
            <w:r w:rsidR="78403D42">
              <w:t>;50%</w:t>
            </w:r>
            <w:r>
              <w:t>)</w:t>
            </w:r>
          </w:p>
        </w:tc>
        <w:tc>
          <w:tcPr>
            <w:tcW w:w="1239" w:type="dxa"/>
          </w:tcPr>
          <w:p w14:paraId="4524AE08" w14:textId="34E804D4" w:rsidR="00685903" w:rsidRDefault="32F7265C" w:rsidP="0052634C">
            <w:pPr>
              <w:spacing w:line="276" w:lineRule="auto"/>
            </w:pPr>
            <w:r>
              <w:t xml:space="preserve">7 </w:t>
            </w:r>
            <w:r w:rsidR="00685903">
              <w:t>(1</w:t>
            </w:r>
            <w:r w:rsidR="6EFBB088">
              <w:t>8</w:t>
            </w:r>
            <w:r w:rsidR="00685903">
              <w:t>%</w:t>
            </w:r>
            <w:r w:rsidR="0E6779F1">
              <w:t>;39%</w:t>
            </w:r>
            <w:r w:rsidR="00685903">
              <w:t>)</w:t>
            </w:r>
          </w:p>
        </w:tc>
      </w:tr>
      <w:tr w:rsidR="00685903" w14:paraId="20E64A29" w14:textId="24307F79" w:rsidTr="008D1DA8">
        <w:tc>
          <w:tcPr>
            <w:tcW w:w="1586" w:type="dxa"/>
            <w:shd w:val="clear" w:color="auto" w:fill="FFFFFF" w:themeFill="background1"/>
          </w:tcPr>
          <w:p w14:paraId="6AA601FF" w14:textId="77777777" w:rsidR="00685903" w:rsidRDefault="00685903" w:rsidP="0052634C">
            <w:pPr>
              <w:spacing w:line="276" w:lineRule="auto"/>
              <w:rPr>
                <w:iCs/>
              </w:rPr>
            </w:pPr>
          </w:p>
        </w:tc>
        <w:tc>
          <w:tcPr>
            <w:tcW w:w="1236" w:type="dxa"/>
            <w:shd w:val="clear" w:color="auto" w:fill="FFFFFF" w:themeFill="background1"/>
          </w:tcPr>
          <w:p w14:paraId="7DA793E9" w14:textId="77777777" w:rsidR="00685903" w:rsidRDefault="00685903" w:rsidP="0052634C">
            <w:pPr>
              <w:spacing w:line="276" w:lineRule="auto"/>
              <w:rPr>
                <w:iCs/>
              </w:rPr>
            </w:pPr>
          </w:p>
        </w:tc>
        <w:tc>
          <w:tcPr>
            <w:tcW w:w="1239" w:type="dxa"/>
            <w:shd w:val="clear" w:color="auto" w:fill="FFFFFF" w:themeFill="background1"/>
          </w:tcPr>
          <w:p w14:paraId="20E250A6" w14:textId="77777777" w:rsidR="00685903" w:rsidRDefault="00685903" w:rsidP="0052634C">
            <w:pPr>
              <w:spacing w:line="276" w:lineRule="auto"/>
              <w:rPr>
                <w:iCs/>
              </w:rPr>
            </w:pPr>
          </w:p>
        </w:tc>
        <w:tc>
          <w:tcPr>
            <w:tcW w:w="1239" w:type="dxa"/>
            <w:shd w:val="clear" w:color="auto" w:fill="FFFFFF" w:themeFill="background1"/>
          </w:tcPr>
          <w:p w14:paraId="253CC5A6" w14:textId="77777777" w:rsidR="00685903" w:rsidRDefault="00685903" w:rsidP="0052634C">
            <w:pPr>
              <w:spacing w:line="276" w:lineRule="auto"/>
              <w:rPr>
                <w:iCs/>
              </w:rPr>
            </w:pPr>
          </w:p>
        </w:tc>
        <w:tc>
          <w:tcPr>
            <w:tcW w:w="1238" w:type="dxa"/>
            <w:shd w:val="clear" w:color="auto" w:fill="FFFFFF" w:themeFill="background1"/>
          </w:tcPr>
          <w:p w14:paraId="277746E0" w14:textId="77777777" w:rsidR="00685903" w:rsidRDefault="00685903" w:rsidP="0052634C">
            <w:pPr>
              <w:spacing w:line="276" w:lineRule="auto"/>
              <w:rPr>
                <w:iCs/>
              </w:rPr>
            </w:pPr>
          </w:p>
        </w:tc>
        <w:tc>
          <w:tcPr>
            <w:tcW w:w="1239" w:type="dxa"/>
            <w:shd w:val="clear" w:color="auto" w:fill="FFFFFF" w:themeFill="background1"/>
          </w:tcPr>
          <w:p w14:paraId="25E6C37D" w14:textId="77777777" w:rsidR="00685903" w:rsidRDefault="00685903" w:rsidP="0052634C">
            <w:pPr>
              <w:spacing w:line="276" w:lineRule="auto"/>
              <w:rPr>
                <w:iCs/>
              </w:rPr>
            </w:pPr>
          </w:p>
        </w:tc>
        <w:tc>
          <w:tcPr>
            <w:tcW w:w="1239" w:type="dxa"/>
            <w:shd w:val="clear" w:color="auto" w:fill="FFFFFF" w:themeFill="background1"/>
          </w:tcPr>
          <w:p w14:paraId="739718E0" w14:textId="77777777" w:rsidR="00685903" w:rsidRDefault="00685903" w:rsidP="0052634C">
            <w:pPr>
              <w:spacing w:line="276" w:lineRule="auto"/>
              <w:rPr>
                <w:iCs/>
              </w:rPr>
            </w:pPr>
          </w:p>
        </w:tc>
      </w:tr>
      <w:tr w:rsidR="00685903" w14:paraId="0431449D" w14:textId="28668E20" w:rsidTr="46C78BCB">
        <w:tc>
          <w:tcPr>
            <w:tcW w:w="1586" w:type="dxa"/>
          </w:tcPr>
          <w:p w14:paraId="649EDE87" w14:textId="2B230198" w:rsidR="00685903" w:rsidRPr="00685903" w:rsidRDefault="00685903" w:rsidP="0052634C">
            <w:pPr>
              <w:spacing w:line="276" w:lineRule="auto"/>
              <w:rPr>
                <w:b/>
                <w:iCs/>
              </w:rPr>
            </w:pPr>
            <w:r w:rsidRPr="00685903">
              <w:rPr>
                <w:b/>
                <w:iCs/>
              </w:rPr>
              <w:t>Proprioception</w:t>
            </w:r>
          </w:p>
        </w:tc>
        <w:tc>
          <w:tcPr>
            <w:tcW w:w="1236" w:type="dxa"/>
          </w:tcPr>
          <w:p w14:paraId="3DCBBEB4" w14:textId="7FDDAE62" w:rsidR="00685903" w:rsidRDefault="00685903" w:rsidP="0052634C">
            <w:pPr>
              <w:spacing w:line="276" w:lineRule="auto"/>
            </w:pPr>
            <w:r>
              <w:t>2</w:t>
            </w:r>
            <w:r w:rsidR="3F8361D7">
              <w:t>1</w:t>
            </w:r>
            <w:r>
              <w:t xml:space="preserve"> (5%)</w:t>
            </w:r>
          </w:p>
        </w:tc>
        <w:tc>
          <w:tcPr>
            <w:tcW w:w="1239" w:type="dxa"/>
          </w:tcPr>
          <w:p w14:paraId="4C5FDB2D" w14:textId="0B3DC67E" w:rsidR="00685903" w:rsidRDefault="00685903" w:rsidP="0052634C">
            <w:pPr>
              <w:spacing w:line="276" w:lineRule="auto"/>
            </w:pPr>
            <w:r>
              <w:t>1</w:t>
            </w:r>
            <w:r w:rsidR="46F4FFAF">
              <w:t>0</w:t>
            </w:r>
            <w:r>
              <w:t xml:space="preserve"> (</w:t>
            </w:r>
            <w:r w:rsidR="65EA3505">
              <w:t>6</w:t>
            </w:r>
            <w:r>
              <w:t>%)</w:t>
            </w:r>
          </w:p>
        </w:tc>
        <w:tc>
          <w:tcPr>
            <w:tcW w:w="1239" w:type="dxa"/>
          </w:tcPr>
          <w:p w14:paraId="14683ABF" w14:textId="432162F5" w:rsidR="00685903" w:rsidRDefault="7BA8F7CB" w:rsidP="0052634C">
            <w:pPr>
              <w:spacing w:line="276" w:lineRule="auto"/>
            </w:pPr>
            <w:r>
              <w:t>2</w:t>
            </w:r>
            <w:r w:rsidR="00685903">
              <w:t>(</w:t>
            </w:r>
            <w:r w:rsidR="14C9B23F">
              <w:t>2</w:t>
            </w:r>
            <w:r w:rsidR="00685903">
              <w:t>%)</w:t>
            </w:r>
          </w:p>
        </w:tc>
        <w:tc>
          <w:tcPr>
            <w:tcW w:w="1238" w:type="dxa"/>
          </w:tcPr>
          <w:p w14:paraId="7DA26C5A" w14:textId="23CB12E7" w:rsidR="00685903" w:rsidRDefault="50653FE7" w:rsidP="0052634C">
            <w:pPr>
              <w:spacing w:line="276" w:lineRule="auto"/>
            </w:pPr>
            <w:r>
              <w:t>2</w:t>
            </w:r>
            <w:r w:rsidR="00685903">
              <w:t>(</w:t>
            </w:r>
            <w:r w:rsidR="29A369C8">
              <w:t>2</w:t>
            </w:r>
            <w:r w:rsidR="00685903">
              <w:t>%)</w:t>
            </w:r>
          </w:p>
        </w:tc>
        <w:tc>
          <w:tcPr>
            <w:tcW w:w="1239" w:type="dxa"/>
          </w:tcPr>
          <w:p w14:paraId="5B23B706" w14:textId="3A00E62A" w:rsidR="00685903" w:rsidRDefault="00685903" w:rsidP="0052634C">
            <w:pPr>
              <w:spacing w:line="276" w:lineRule="auto"/>
              <w:rPr>
                <w:iCs/>
              </w:rPr>
            </w:pPr>
            <w:r>
              <w:rPr>
                <w:iCs/>
              </w:rPr>
              <w:t>2 (4%)</w:t>
            </w:r>
          </w:p>
        </w:tc>
        <w:tc>
          <w:tcPr>
            <w:tcW w:w="1239" w:type="dxa"/>
          </w:tcPr>
          <w:p w14:paraId="016718DA" w14:textId="0A018A09" w:rsidR="00685903" w:rsidRDefault="5232F2E1" w:rsidP="0052634C">
            <w:pPr>
              <w:spacing w:line="276" w:lineRule="auto"/>
            </w:pPr>
            <w:r>
              <w:t>5</w:t>
            </w:r>
            <w:r w:rsidR="00685903">
              <w:t>(1</w:t>
            </w:r>
            <w:r w:rsidR="47867462">
              <w:t>3</w:t>
            </w:r>
            <w:r w:rsidR="00685903">
              <w:t>%)</w:t>
            </w:r>
          </w:p>
        </w:tc>
      </w:tr>
      <w:tr w:rsidR="00685903" w14:paraId="3943E3B7" w14:textId="77777777" w:rsidTr="008D1DA8">
        <w:tc>
          <w:tcPr>
            <w:tcW w:w="1586" w:type="dxa"/>
            <w:shd w:val="clear" w:color="auto" w:fill="FFFFFF" w:themeFill="background1"/>
          </w:tcPr>
          <w:p w14:paraId="252EBDDC" w14:textId="77777777" w:rsidR="00685903" w:rsidRDefault="00685903" w:rsidP="0052634C">
            <w:pPr>
              <w:spacing w:line="276" w:lineRule="auto"/>
              <w:rPr>
                <w:iCs/>
              </w:rPr>
            </w:pPr>
          </w:p>
        </w:tc>
        <w:tc>
          <w:tcPr>
            <w:tcW w:w="1236" w:type="dxa"/>
            <w:shd w:val="clear" w:color="auto" w:fill="FFFFFF" w:themeFill="background1"/>
          </w:tcPr>
          <w:p w14:paraId="0D365DEB" w14:textId="77777777" w:rsidR="00685903" w:rsidRDefault="00685903" w:rsidP="0052634C">
            <w:pPr>
              <w:spacing w:line="276" w:lineRule="auto"/>
              <w:rPr>
                <w:iCs/>
              </w:rPr>
            </w:pPr>
          </w:p>
        </w:tc>
        <w:tc>
          <w:tcPr>
            <w:tcW w:w="1239" w:type="dxa"/>
            <w:shd w:val="clear" w:color="auto" w:fill="FFFFFF" w:themeFill="background1"/>
          </w:tcPr>
          <w:p w14:paraId="79BDAE4D" w14:textId="77777777" w:rsidR="00685903" w:rsidRDefault="00685903" w:rsidP="0052634C">
            <w:pPr>
              <w:spacing w:line="276" w:lineRule="auto"/>
              <w:rPr>
                <w:iCs/>
              </w:rPr>
            </w:pPr>
          </w:p>
        </w:tc>
        <w:tc>
          <w:tcPr>
            <w:tcW w:w="1239" w:type="dxa"/>
            <w:shd w:val="clear" w:color="auto" w:fill="FFFFFF" w:themeFill="background1"/>
          </w:tcPr>
          <w:p w14:paraId="7CD4A712" w14:textId="77777777" w:rsidR="00685903" w:rsidRDefault="00685903" w:rsidP="0052634C">
            <w:pPr>
              <w:spacing w:line="276" w:lineRule="auto"/>
              <w:rPr>
                <w:iCs/>
              </w:rPr>
            </w:pPr>
          </w:p>
        </w:tc>
        <w:tc>
          <w:tcPr>
            <w:tcW w:w="1238" w:type="dxa"/>
            <w:shd w:val="clear" w:color="auto" w:fill="FFFFFF" w:themeFill="background1"/>
          </w:tcPr>
          <w:p w14:paraId="051A5B59" w14:textId="77777777" w:rsidR="00685903" w:rsidRDefault="00685903" w:rsidP="0052634C">
            <w:pPr>
              <w:spacing w:line="276" w:lineRule="auto"/>
              <w:rPr>
                <w:iCs/>
              </w:rPr>
            </w:pPr>
          </w:p>
        </w:tc>
        <w:tc>
          <w:tcPr>
            <w:tcW w:w="1239" w:type="dxa"/>
            <w:shd w:val="clear" w:color="auto" w:fill="FFFFFF" w:themeFill="background1"/>
          </w:tcPr>
          <w:p w14:paraId="5F2F17E8" w14:textId="77777777" w:rsidR="00685903" w:rsidRDefault="00685903" w:rsidP="0052634C">
            <w:pPr>
              <w:spacing w:line="276" w:lineRule="auto"/>
              <w:rPr>
                <w:iCs/>
              </w:rPr>
            </w:pPr>
          </w:p>
        </w:tc>
        <w:tc>
          <w:tcPr>
            <w:tcW w:w="1239" w:type="dxa"/>
            <w:shd w:val="clear" w:color="auto" w:fill="FFFFFF" w:themeFill="background1"/>
          </w:tcPr>
          <w:p w14:paraId="2CB5106D" w14:textId="77777777" w:rsidR="00685903" w:rsidRDefault="00685903" w:rsidP="0052634C">
            <w:pPr>
              <w:spacing w:line="276" w:lineRule="auto"/>
              <w:rPr>
                <w:iCs/>
              </w:rPr>
            </w:pPr>
          </w:p>
        </w:tc>
      </w:tr>
      <w:tr w:rsidR="00685903" w14:paraId="3C3A1699" w14:textId="2702AADD" w:rsidTr="46C78BCB">
        <w:tc>
          <w:tcPr>
            <w:tcW w:w="1586" w:type="dxa"/>
          </w:tcPr>
          <w:p w14:paraId="650D4393" w14:textId="7DBDFC49" w:rsidR="00685903" w:rsidRPr="00685903" w:rsidRDefault="00685903" w:rsidP="0052634C">
            <w:pPr>
              <w:spacing w:line="276" w:lineRule="auto"/>
              <w:rPr>
                <w:b/>
                <w:iCs/>
              </w:rPr>
            </w:pPr>
            <w:r w:rsidRPr="00685903">
              <w:rPr>
                <w:b/>
                <w:iCs/>
              </w:rPr>
              <w:t>Motor control</w:t>
            </w:r>
          </w:p>
        </w:tc>
        <w:tc>
          <w:tcPr>
            <w:tcW w:w="1236" w:type="dxa"/>
          </w:tcPr>
          <w:p w14:paraId="48E6474D" w14:textId="2E3B4E72" w:rsidR="00685903" w:rsidRDefault="00685903" w:rsidP="0052634C">
            <w:pPr>
              <w:spacing w:line="276" w:lineRule="auto"/>
            </w:pPr>
            <w:r>
              <w:t>7</w:t>
            </w:r>
            <w:r w:rsidR="660ABD9E">
              <w:t>3</w:t>
            </w:r>
            <w:r>
              <w:t xml:space="preserve"> (17%)</w:t>
            </w:r>
          </w:p>
        </w:tc>
        <w:tc>
          <w:tcPr>
            <w:tcW w:w="1239" w:type="dxa"/>
          </w:tcPr>
          <w:p w14:paraId="454A3A33" w14:textId="79EBFEB3" w:rsidR="00685903" w:rsidRDefault="00685903" w:rsidP="0052634C">
            <w:pPr>
              <w:spacing w:line="276" w:lineRule="auto"/>
            </w:pPr>
            <w:r>
              <w:t>6</w:t>
            </w:r>
            <w:r w:rsidR="63C0DB9E">
              <w:t>6</w:t>
            </w:r>
            <w:r>
              <w:t xml:space="preserve"> (40%)</w:t>
            </w:r>
          </w:p>
        </w:tc>
        <w:tc>
          <w:tcPr>
            <w:tcW w:w="1239" w:type="dxa"/>
          </w:tcPr>
          <w:p w14:paraId="4BA79F94" w14:textId="34C9390D" w:rsidR="00685903" w:rsidRDefault="00685903" w:rsidP="0052634C">
            <w:pPr>
              <w:spacing w:line="276" w:lineRule="auto"/>
              <w:rPr>
                <w:iCs/>
              </w:rPr>
            </w:pPr>
            <w:r>
              <w:rPr>
                <w:iCs/>
              </w:rPr>
              <w:t>0 (0%)</w:t>
            </w:r>
          </w:p>
        </w:tc>
        <w:tc>
          <w:tcPr>
            <w:tcW w:w="1238" w:type="dxa"/>
          </w:tcPr>
          <w:p w14:paraId="78A1BD90" w14:textId="07A279ED" w:rsidR="00685903" w:rsidRDefault="00685903" w:rsidP="0052634C">
            <w:pPr>
              <w:spacing w:line="276" w:lineRule="auto"/>
              <w:rPr>
                <w:iCs/>
              </w:rPr>
            </w:pPr>
            <w:r>
              <w:rPr>
                <w:iCs/>
              </w:rPr>
              <w:t>1 (1%)</w:t>
            </w:r>
          </w:p>
        </w:tc>
        <w:tc>
          <w:tcPr>
            <w:tcW w:w="1239" w:type="dxa"/>
          </w:tcPr>
          <w:p w14:paraId="6FF2447B" w14:textId="21E87E73" w:rsidR="00685903" w:rsidRDefault="00685903" w:rsidP="0052634C">
            <w:pPr>
              <w:spacing w:line="276" w:lineRule="auto"/>
              <w:rPr>
                <w:iCs/>
              </w:rPr>
            </w:pPr>
            <w:r>
              <w:rPr>
                <w:iCs/>
              </w:rPr>
              <w:t>1 (2%)</w:t>
            </w:r>
          </w:p>
        </w:tc>
        <w:tc>
          <w:tcPr>
            <w:tcW w:w="1239" w:type="dxa"/>
          </w:tcPr>
          <w:p w14:paraId="2C619B55" w14:textId="5EFC4F8D" w:rsidR="00685903" w:rsidRDefault="00685903" w:rsidP="0052634C">
            <w:pPr>
              <w:spacing w:line="276" w:lineRule="auto"/>
              <w:rPr>
                <w:iCs/>
              </w:rPr>
            </w:pPr>
            <w:r>
              <w:rPr>
                <w:iCs/>
              </w:rPr>
              <w:t>5 (13%)</w:t>
            </w:r>
          </w:p>
        </w:tc>
      </w:tr>
      <w:tr w:rsidR="00685903" w14:paraId="4DC5EA5A" w14:textId="2A5A1AE4" w:rsidTr="008D1DA8">
        <w:tc>
          <w:tcPr>
            <w:tcW w:w="1586" w:type="dxa"/>
            <w:shd w:val="clear" w:color="auto" w:fill="FFFFFF" w:themeFill="background1"/>
          </w:tcPr>
          <w:p w14:paraId="0E1D07B0" w14:textId="77777777" w:rsidR="00685903" w:rsidRDefault="00685903" w:rsidP="0052634C">
            <w:pPr>
              <w:spacing w:line="276" w:lineRule="auto"/>
              <w:rPr>
                <w:iCs/>
              </w:rPr>
            </w:pPr>
          </w:p>
        </w:tc>
        <w:tc>
          <w:tcPr>
            <w:tcW w:w="1236" w:type="dxa"/>
            <w:shd w:val="clear" w:color="auto" w:fill="FFFFFF" w:themeFill="background1"/>
          </w:tcPr>
          <w:p w14:paraId="0ABCA34A" w14:textId="77777777" w:rsidR="00685903" w:rsidRDefault="00685903" w:rsidP="0052634C">
            <w:pPr>
              <w:spacing w:line="276" w:lineRule="auto"/>
              <w:rPr>
                <w:iCs/>
              </w:rPr>
            </w:pPr>
          </w:p>
        </w:tc>
        <w:tc>
          <w:tcPr>
            <w:tcW w:w="1239" w:type="dxa"/>
            <w:shd w:val="clear" w:color="auto" w:fill="FFFFFF" w:themeFill="background1"/>
          </w:tcPr>
          <w:p w14:paraId="01D0F1C7" w14:textId="77777777" w:rsidR="00685903" w:rsidRDefault="00685903" w:rsidP="0052634C">
            <w:pPr>
              <w:spacing w:line="276" w:lineRule="auto"/>
              <w:rPr>
                <w:iCs/>
              </w:rPr>
            </w:pPr>
          </w:p>
        </w:tc>
        <w:tc>
          <w:tcPr>
            <w:tcW w:w="1239" w:type="dxa"/>
            <w:shd w:val="clear" w:color="auto" w:fill="FFFFFF" w:themeFill="background1"/>
          </w:tcPr>
          <w:p w14:paraId="47D812FE" w14:textId="77777777" w:rsidR="00685903" w:rsidRDefault="00685903" w:rsidP="0052634C">
            <w:pPr>
              <w:spacing w:line="276" w:lineRule="auto"/>
              <w:rPr>
                <w:iCs/>
              </w:rPr>
            </w:pPr>
          </w:p>
        </w:tc>
        <w:tc>
          <w:tcPr>
            <w:tcW w:w="1238" w:type="dxa"/>
            <w:shd w:val="clear" w:color="auto" w:fill="FFFFFF" w:themeFill="background1"/>
          </w:tcPr>
          <w:p w14:paraId="475D80DA" w14:textId="77777777" w:rsidR="00685903" w:rsidRDefault="00685903" w:rsidP="0052634C">
            <w:pPr>
              <w:spacing w:line="276" w:lineRule="auto"/>
              <w:rPr>
                <w:iCs/>
              </w:rPr>
            </w:pPr>
          </w:p>
        </w:tc>
        <w:tc>
          <w:tcPr>
            <w:tcW w:w="1239" w:type="dxa"/>
            <w:shd w:val="clear" w:color="auto" w:fill="FFFFFF" w:themeFill="background1"/>
          </w:tcPr>
          <w:p w14:paraId="69250F39" w14:textId="77777777" w:rsidR="00685903" w:rsidRDefault="00685903" w:rsidP="0052634C">
            <w:pPr>
              <w:spacing w:line="276" w:lineRule="auto"/>
              <w:rPr>
                <w:iCs/>
              </w:rPr>
            </w:pPr>
          </w:p>
        </w:tc>
        <w:tc>
          <w:tcPr>
            <w:tcW w:w="1239" w:type="dxa"/>
            <w:shd w:val="clear" w:color="auto" w:fill="FFFFFF" w:themeFill="background1"/>
          </w:tcPr>
          <w:p w14:paraId="5DC65E2A" w14:textId="77777777" w:rsidR="00685903" w:rsidRDefault="00685903" w:rsidP="0052634C">
            <w:pPr>
              <w:spacing w:line="276" w:lineRule="auto"/>
              <w:rPr>
                <w:iCs/>
              </w:rPr>
            </w:pPr>
          </w:p>
        </w:tc>
      </w:tr>
      <w:tr w:rsidR="00685903" w14:paraId="5159CEE7" w14:textId="5439B2A2" w:rsidTr="46C78BCB">
        <w:tc>
          <w:tcPr>
            <w:tcW w:w="1586" w:type="dxa"/>
          </w:tcPr>
          <w:p w14:paraId="3F97798F" w14:textId="689C3684" w:rsidR="00685903" w:rsidRPr="009474FF" w:rsidRDefault="00685903" w:rsidP="0052634C">
            <w:pPr>
              <w:spacing w:line="276" w:lineRule="auto"/>
              <w:rPr>
                <w:b/>
                <w:bCs/>
                <w:iCs/>
              </w:rPr>
            </w:pPr>
            <w:r w:rsidRPr="009474FF">
              <w:rPr>
                <w:b/>
                <w:bCs/>
                <w:iCs/>
              </w:rPr>
              <w:t>Aerobic</w:t>
            </w:r>
          </w:p>
        </w:tc>
        <w:tc>
          <w:tcPr>
            <w:tcW w:w="1236" w:type="dxa"/>
          </w:tcPr>
          <w:p w14:paraId="311F35E6" w14:textId="6668C501" w:rsidR="00685903" w:rsidRDefault="0065177D" w:rsidP="0052634C">
            <w:pPr>
              <w:spacing w:line="276" w:lineRule="auto"/>
            </w:pPr>
            <w:r>
              <w:t>24</w:t>
            </w:r>
            <w:r w:rsidR="00685903">
              <w:t xml:space="preserve"> (</w:t>
            </w:r>
            <w:r w:rsidR="0D2B51C1">
              <w:t>6</w:t>
            </w:r>
            <w:r w:rsidR="00685903">
              <w:t>%)</w:t>
            </w:r>
          </w:p>
        </w:tc>
        <w:tc>
          <w:tcPr>
            <w:tcW w:w="1239" w:type="dxa"/>
          </w:tcPr>
          <w:p w14:paraId="156385F5" w14:textId="4DB6E428" w:rsidR="00685903" w:rsidRDefault="00685903" w:rsidP="0052634C">
            <w:pPr>
              <w:spacing w:line="276" w:lineRule="auto"/>
              <w:rPr>
                <w:iCs/>
              </w:rPr>
            </w:pPr>
            <w:r>
              <w:rPr>
                <w:iCs/>
              </w:rPr>
              <w:t>4 (2%)</w:t>
            </w:r>
          </w:p>
        </w:tc>
        <w:tc>
          <w:tcPr>
            <w:tcW w:w="1239" w:type="dxa"/>
          </w:tcPr>
          <w:p w14:paraId="2616D3D5" w14:textId="38FBBDA8" w:rsidR="00685903" w:rsidRDefault="00685903" w:rsidP="0052634C">
            <w:pPr>
              <w:spacing w:line="276" w:lineRule="auto"/>
              <w:rPr>
                <w:iCs/>
              </w:rPr>
            </w:pPr>
            <w:r>
              <w:rPr>
                <w:iCs/>
              </w:rPr>
              <w:t>6 (6%)</w:t>
            </w:r>
          </w:p>
        </w:tc>
        <w:tc>
          <w:tcPr>
            <w:tcW w:w="1238" w:type="dxa"/>
          </w:tcPr>
          <w:p w14:paraId="54C96553" w14:textId="272FCF31" w:rsidR="00685903" w:rsidRDefault="00685903" w:rsidP="0052634C">
            <w:pPr>
              <w:spacing w:line="276" w:lineRule="auto"/>
              <w:rPr>
                <w:iCs/>
              </w:rPr>
            </w:pPr>
            <w:r>
              <w:rPr>
                <w:iCs/>
              </w:rPr>
              <w:t>0 (0%)</w:t>
            </w:r>
          </w:p>
        </w:tc>
        <w:tc>
          <w:tcPr>
            <w:tcW w:w="1239" w:type="dxa"/>
          </w:tcPr>
          <w:p w14:paraId="4D40FDEA" w14:textId="6A2D65A9" w:rsidR="00685903" w:rsidRDefault="711F6AE5" w:rsidP="0052634C">
            <w:pPr>
              <w:spacing w:line="276" w:lineRule="auto"/>
            </w:pPr>
            <w:r>
              <w:t>9</w:t>
            </w:r>
            <w:r w:rsidR="6BCD1604">
              <w:t xml:space="preserve"> </w:t>
            </w:r>
            <w:r w:rsidR="00685903">
              <w:t>(1</w:t>
            </w:r>
            <w:r w:rsidR="12A92B98">
              <w:t>7</w:t>
            </w:r>
            <w:r w:rsidR="00685903">
              <w:t>%)</w:t>
            </w:r>
          </w:p>
        </w:tc>
        <w:tc>
          <w:tcPr>
            <w:tcW w:w="1239" w:type="dxa"/>
          </w:tcPr>
          <w:p w14:paraId="4486E3A5" w14:textId="4B5F27B9" w:rsidR="00685903" w:rsidRDefault="5AA0A878" w:rsidP="0052634C">
            <w:pPr>
              <w:spacing w:line="276" w:lineRule="auto"/>
            </w:pPr>
            <w:r>
              <w:t>5</w:t>
            </w:r>
            <w:r w:rsidR="00685903">
              <w:t>(</w:t>
            </w:r>
            <w:r w:rsidR="2B18EDC3">
              <w:t>1</w:t>
            </w:r>
            <w:r w:rsidR="00685903">
              <w:t>3%)</w:t>
            </w:r>
          </w:p>
        </w:tc>
      </w:tr>
    </w:tbl>
    <w:p w14:paraId="012CEBE7" w14:textId="08FE5F96" w:rsidR="005774BF" w:rsidRDefault="005E6DE3" w:rsidP="0073257F">
      <w:pPr>
        <w:spacing w:line="360" w:lineRule="auto"/>
      </w:pPr>
      <w:r>
        <w:t>Key: H</w:t>
      </w:r>
      <w:r w:rsidR="0001333F">
        <w:t>SR</w:t>
      </w:r>
      <w:r>
        <w:t>T – Heavy slow resistance training; ROM – range of motion; PNF – proprioceptive neuromuscular facilitation</w:t>
      </w:r>
      <w:r w:rsidR="0001333F">
        <w:t>; Traditional Stretching – static and sustained hold</w:t>
      </w:r>
      <w:r w:rsidR="346E26A7">
        <w:t>. % - Percentage of column total. (%;</w:t>
      </w:r>
      <w:r w:rsidR="00C42F0A">
        <w:t xml:space="preserve"> </w:t>
      </w:r>
      <w:r w:rsidR="346E26A7">
        <w:t xml:space="preserve">%) - Percentage of column total and percentage of </w:t>
      </w:r>
      <w:r w:rsidR="26702A4A">
        <w:t xml:space="preserve">strengthening/flexibility total. </w:t>
      </w:r>
    </w:p>
    <w:p w14:paraId="596D3742" w14:textId="77777777" w:rsidR="000605E9" w:rsidRDefault="000605E9" w:rsidP="0073257F">
      <w:pPr>
        <w:spacing w:line="360" w:lineRule="auto"/>
        <w:rPr>
          <w:i/>
          <w:iCs/>
        </w:rPr>
      </w:pPr>
    </w:p>
    <w:p w14:paraId="364D004B" w14:textId="6188D556" w:rsidR="7002BF6C" w:rsidRPr="00FC47DA" w:rsidRDefault="7002BF6C" w:rsidP="0073257F">
      <w:pPr>
        <w:spacing w:line="360" w:lineRule="auto"/>
      </w:pPr>
      <w:r w:rsidRPr="00FC47DA">
        <w:rPr>
          <w:i/>
          <w:iCs/>
        </w:rPr>
        <w:t xml:space="preserve">Exercise </w:t>
      </w:r>
      <w:r w:rsidR="00DE582C" w:rsidRPr="00FC47DA">
        <w:rPr>
          <w:i/>
          <w:iCs/>
        </w:rPr>
        <w:t xml:space="preserve">intervention </w:t>
      </w:r>
      <w:r w:rsidRPr="00FC47DA">
        <w:rPr>
          <w:i/>
          <w:iCs/>
        </w:rPr>
        <w:t>reporting</w:t>
      </w:r>
    </w:p>
    <w:p w14:paraId="20BCDDBF" w14:textId="77777777" w:rsidR="001F3048" w:rsidRDefault="001F3048" w:rsidP="0073257F">
      <w:pPr>
        <w:spacing w:line="360" w:lineRule="auto"/>
        <w:rPr>
          <w:noProof/>
          <w:lang w:eastAsia="en-GB"/>
        </w:rPr>
      </w:pPr>
      <w:r w:rsidRPr="55CB3811">
        <w:rPr>
          <w:noProof/>
          <w:lang w:eastAsia="en-GB"/>
        </w:rPr>
        <w:lastRenderedPageBreak/>
        <w:t>All exercise interventions were mapped to the TIDieR checklist</w:t>
      </w:r>
      <w:r>
        <w:rPr>
          <w:noProof/>
          <w:lang w:eastAsia="en-GB"/>
        </w:rPr>
        <w:t xml:space="preserve"> </w:t>
      </w:r>
      <w:r>
        <w:rPr>
          <w:noProof/>
          <w:lang w:eastAsia="en-GB"/>
        </w:rPr>
        <w:fldChar w:fldCharType="begin"/>
      </w:r>
      <w:r>
        <w:rPr>
          <w:noProof/>
          <w:lang w:eastAsia="en-GB"/>
        </w:rPr>
        <w:instrText xml:space="preserve"> ADDIN ZOTERO_ITEM CSL_CITATION {"citationID":"OkYKPZls","properties":{"formattedCitation":"[18]","plainCitation":"[18]","noteIndex":0},"citationItems":[{"id":29,"uris":["http://zotero.org/users/local/ehxbAYSD/items/JVLRBWFL"],"uri":["http://zotero.org/users/local/ehxbAYSD/items/JVLRBWFL"],"itemData":{"id":29,"type":"article-journal","container-title":"BMJ","DOI":"10.1136/bmj.g1687","ISSN":"1756-1833","issue":"mar07 3","journalAbbreviation":"BMJ","language":"en","page":"g1687-g1687","source":"DOI.org (Crossref)","title":"Better reporting of interventions: template for intervention description and replication (TIDieR) checklist and guide","title-short":"Better reporting of interventions","volume":"348","author":[{"family":"Hoffmann","given":"T. C."},{"family":"Glasziou","given":"P. P."},{"family":"Boutron","given":"I."},{"family":"Milne","given":"R."},{"family":"Perera","given":"R."},{"family":"Moher","given":"D."},{"family":"Altman","given":"D. G."},{"family":"Barbour","given":"V."},{"family":"Macdonald","given":"H."},{"family":"Johnston","given":"M."},{"family":"Lamb","given":"S. E."},{"family":"Dixon-Woods","given":"M."},{"family":"McCulloch","given":"P."},{"family":"Wyatt","given":"J. C."},{"family":"Chan","given":"A.-W."},{"family":"Michie","given":"S."}],"issued":{"date-parts":[["2014",3,7]]}}}],"schema":"https://github.com/citation-style-language/schema/raw/master/csl-citation.json"} </w:instrText>
      </w:r>
      <w:r>
        <w:rPr>
          <w:noProof/>
          <w:lang w:eastAsia="en-GB"/>
        </w:rPr>
        <w:fldChar w:fldCharType="separate"/>
      </w:r>
      <w:r w:rsidRPr="00C42F0A">
        <w:rPr>
          <w:rFonts w:ascii="Calibri" w:hAnsi="Calibri" w:cs="Calibri"/>
        </w:rPr>
        <w:t>[18]</w:t>
      </w:r>
      <w:r>
        <w:rPr>
          <w:noProof/>
          <w:lang w:eastAsia="en-GB"/>
        </w:rPr>
        <w:fldChar w:fldCharType="end"/>
      </w:r>
      <w:r w:rsidRPr="55CB3811">
        <w:rPr>
          <w:noProof/>
          <w:lang w:eastAsia="en-GB"/>
        </w:rPr>
        <w:t xml:space="preserve"> and are presented for all tendinopathies in Figure 4 and for individual tendinopathies in Figure 5. The intervention setting was often not reported (51%) or only partially reported (19%). Additionally, over a third of studies did not report the how (mode of delivery, 38%), who (intervention provider expertise, 37%), why (rationale, theory, or goal, 36%), or what (physical or informational materials used, 35%) components of interventions. Data from the TIDieR checklist was used by the review team to categorise study interventions as fully reproducible (all details reported to enable reproduction of the exercise), partially reproducible (some but not all details of exercise reported to enable partial reproduction of the exercise) or not reproducible  (Figures 4 &amp; 5). Reproducibility was assessed across different tendinopathies with the majority of interventions (56 to 74%) categorised as partially reproducible, and only a minority (4 to 15%) categorised as fully reproducible.</w:t>
      </w:r>
    </w:p>
    <w:p w14:paraId="4E4DEAF2" w14:textId="64C87A8C" w:rsidR="004A6C89" w:rsidRDefault="004A6C89" w:rsidP="0073257F">
      <w:pPr>
        <w:spacing w:line="360" w:lineRule="auto"/>
      </w:pPr>
      <w:r>
        <w:t>Monitoring adherence to exercise was planned</w:t>
      </w:r>
      <w:r w:rsidR="00617153">
        <w:t xml:space="preserve"> by authors</w:t>
      </w:r>
      <w:r>
        <w:t xml:space="preserve"> in 152 studies and comprised eight different methods: exercise diaries (71% of the methods), summary records from therapist (8%), self-report (7%), therapist individual session records (6%), follow-up phone calls to monitor attendance (4%), follow-up appointments to monitor adherence (3%), and adherence reported by family member (1%). However, adherence data were only reported in 89 (59%) of the 152 studies that stated they had planned to do so (20% of all primary studies). </w:t>
      </w:r>
      <w:r w:rsidR="00E0191A">
        <w:t>Reported a</w:t>
      </w:r>
      <w:r>
        <w:t xml:space="preserve">dherence means ranged from 16% to 100% in individual studies and was 77% across all studies. Authors also used varied grading of adherence from subjective terms such as “high,” “good”, and “adherent” to aligning frequencies to rankings of poor to excellent (e.g., &gt;75% “good”, 70% “good/excellent”, 25-75% “moderate to excellent”, 50% “good”, 27% “moderate to poor”). Studies also reported a reduction in adherence over time with 12-week adherence ranging from 27% to 94.2% and two-year adherence ranging from 41% to 87.4%.  </w:t>
      </w:r>
    </w:p>
    <w:p w14:paraId="1E3B381B" w14:textId="27D3E32C" w:rsidR="004A6C89" w:rsidRDefault="004A6C89" w:rsidP="0073257F">
      <w:pPr>
        <w:spacing w:line="360" w:lineRule="auto"/>
      </w:pPr>
      <w:r>
        <w:t xml:space="preserve">Reporting of modifications (any modifications to the intervention during the study) and tailoring (planned personalisation, titration, or adaptions) of exercise interventions were also recorded. Tailoring was reported in 247 (56%) studies. Tailoring involved personalised progression of exercise via increasing sets, number of sessions per day, repetitions, resistance/load, speed, duration of muscle contraction, time spent on exercise, range of motion, difficulty (up to 13-15 rating of perceived exertion), addition of new exercises, reducing base of support/stability, gradual increase in other physical and sporting activities, and progression from low to higher impact activities. These progressions were determined by the physiotherapist/exercise professional, improved quality of movement control, full range of movement, ratings of participant perceived effort (Borg 1982) (e.g., less than 7, up to 11-14), fatigue, the absence of pain, pain rated as no more than 3-5/10 on a pain scale, or as “pain allowed”. Tailoring also involved decrements in exercise via reduced loading and </w:t>
      </w:r>
      <w:r>
        <w:lastRenderedPageBreak/>
        <w:t xml:space="preserve">range of motion due to participant-reported pain, including pain greater than 4-5/10 or pain that did not subside immediately (or within 10-15 minutes post exercise). Modifications were reported in only 20 (5%) studies. These included participants being withdrawn and referred for further investigation, follow-up appointments for participants as required to facilitate self-management or for any difficulties, alternative planes of motion or training technique modifications that were more comfortable for participants or due to additional musculoskeletal problems occurring during the study. </w:t>
      </w:r>
    </w:p>
    <w:p w14:paraId="06BECB01" w14:textId="3EE96E3A" w:rsidR="00740189" w:rsidRDefault="00740189" w:rsidP="0073257F">
      <w:pPr>
        <w:spacing w:line="360" w:lineRule="auto"/>
      </w:pPr>
    </w:p>
    <w:p w14:paraId="66103277" w14:textId="41171C13" w:rsidR="004A03CB" w:rsidRDefault="004A03CB" w:rsidP="0073257F">
      <w:pPr>
        <w:spacing w:line="360" w:lineRule="auto"/>
      </w:pPr>
      <w:r>
        <w:rPr>
          <w:noProof/>
        </w:rPr>
        <w:drawing>
          <wp:inline distT="0" distB="0" distL="0" distR="0" wp14:anchorId="2E9CEA35" wp14:editId="5E3C006E">
            <wp:extent cx="5731510" cy="3336925"/>
            <wp:effectExtent l="0" t="0" r="254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3336925"/>
                    </a:xfrm>
                    <a:prstGeom prst="rect">
                      <a:avLst/>
                    </a:prstGeom>
                  </pic:spPr>
                </pic:pic>
              </a:graphicData>
            </a:graphic>
          </wp:inline>
        </w:drawing>
      </w:r>
    </w:p>
    <w:p w14:paraId="1A912D0B" w14:textId="607EABCB" w:rsidR="00740189" w:rsidRDefault="00740189" w:rsidP="00740189">
      <w:pPr>
        <w:spacing w:line="360" w:lineRule="auto"/>
        <w:rPr>
          <w:noProof/>
          <w:lang w:eastAsia="en-GB"/>
        </w:rPr>
      </w:pPr>
      <w:r w:rsidRPr="00262D61">
        <w:rPr>
          <w:b/>
          <w:bCs/>
          <w:noProof/>
          <w:lang w:eastAsia="en-GB"/>
        </w:rPr>
        <w:t>Figure 4:</w:t>
      </w:r>
      <w:r>
        <w:rPr>
          <w:noProof/>
          <w:lang w:eastAsia="en-GB"/>
        </w:rPr>
        <w:t xml:space="preserve"> Exercise therapy reporting across all tendinopathy types using the TIDieR checklist.</w:t>
      </w:r>
    </w:p>
    <w:p w14:paraId="0D8C4B50" w14:textId="48D2292B" w:rsidR="00740189" w:rsidRDefault="00740189" w:rsidP="00740189">
      <w:pPr>
        <w:spacing w:line="360" w:lineRule="auto"/>
        <w:rPr>
          <w:b/>
          <w:bCs/>
          <w:noProof/>
          <w:lang w:eastAsia="en-GB"/>
        </w:rPr>
      </w:pPr>
    </w:p>
    <w:p w14:paraId="4085F36F" w14:textId="4C07E5A3" w:rsidR="00CD31CB" w:rsidRDefault="00CD31CB" w:rsidP="00740189">
      <w:pPr>
        <w:spacing w:line="360" w:lineRule="auto"/>
        <w:rPr>
          <w:b/>
          <w:bCs/>
          <w:noProof/>
          <w:lang w:eastAsia="en-GB"/>
        </w:rPr>
      </w:pPr>
      <w:r>
        <w:rPr>
          <w:b/>
          <w:bCs/>
          <w:noProof/>
          <w:lang w:eastAsia="en-GB"/>
        </w:rPr>
        <w:lastRenderedPageBreak/>
        <w:drawing>
          <wp:inline distT="0" distB="0" distL="0" distR="0" wp14:anchorId="6601767A" wp14:editId="42155E5F">
            <wp:extent cx="5731510" cy="3336925"/>
            <wp:effectExtent l="0" t="0" r="2540" b="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3336925"/>
                    </a:xfrm>
                    <a:prstGeom prst="rect">
                      <a:avLst/>
                    </a:prstGeom>
                  </pic:spPr>
                </pic:pic>
              </a:graphicData>
            </a:graphic>
          </wp:inline>
        </w:drawing>
      </w:r>
    </w:p>
    <w:p w14:paraId="4710EF05" w14:textId="12882F53" w:rsidR="00740189" w:rsidRDefault="00740189" w:rsidP="00740189">
      <w:pPr>
        <w:spacing w:line="360" w:lineRule="auto"/>
        <w:rPr>
          <w:noProof/>
          <w:lang w:eastAsia="en-GB"/>
        </w:rPr>
      </w:pPr>
      <w:r w:rsidRPr="00262D61">
        <w:rPr>
          <w:b/>
          <w:bCs/>
          <w:noProof/>
          <w:lang w:eastAsia="en-GB"/>
        </w:rPr>
        <w:t>Figure 5:</w:t>
      </w:r>
      <w:r>
        <w:rPr>
          <w:noProof/>
          <w:lang w:eastAsia="en-GB"/>
        </w:rPr>
        <w:t xml:space="preserve"> Reproducibility of exercise therapies across tendinopathy types using the TIDieR checklist.</w:t>
      </w:r>
    </w:p>
    <w:p w14:paraId="3A41DCCD" w14:textId="7E7E038E" w:rsidR="793BE9A6" w:rsidRDefault="793BE9A6" w:rsidP="0073257F">
      <w:pPr>
        <w:keepNext/>
        <w:spacing w:line="360" w:lineRule="auto"/>
        <w:rPr>
          <w:i/>
          <w:iCs/>
        </w:rPr>
      </w:pPr>
      <w:r w:rsidRPr="4D871791">
        <w:rPr>
          <w:i/>
          <w:iCs/>
        </w:rPr>
        <w:t xml:space="preserve">Exercise therapy </w:t>
      </w:r>
      <w:r w:rsidR="0001333F">
        <w:rPr>
          <w:i/>
          <w:iCs/>
        </w:rPr>
        <w:t>adjuncts</w:t>
      </w:r>
    </w:p>
    <w:p w14:paraId="303C2659" w14:textId="77777777" w:rsidR="004A6C89" w:rsidRDefault="004A6C89" w:rsidP="0073257F">
      <w:pPr>
        <w:spacing w:line="360" w:lineRule="auto"/>
      </w:pPr>
      <w:r>
        <w:t>Treatment adjuncts (non-exercise treatments in addition to the exercise component of their intervention) alongside exercise were included in 140 studies (44%) whereas 109 did not (67 were not applicable due to study design). The main treatment adjuncts included injection, laser, ESWT, manual therapy and splinting/taping. Additionally, of the 316 experimental studies included, 49 (16%) included a specific non-exercise arm (whereby one, or more, of the groups were not prescribed any exercise as part of their intervention) whilst 184 did not (</w:t>
      </w:r>
      <w:r w:rsidRPr="003435A3">
        <w:t>83 were not applicable</w:t>
      </w:r>
      <w:r>
        <w:t xml:space="preserve">). </w:t>
      </w:r>
    </w:p>
    <w:p w14:paraId="00E2EAF4" w14:textId="77777777" w:rsidR="009573DF" w:rsidRDefault="009573DF" w:rsidP="0073257F">
      <w:pPr>
        <w:spacing w:line="360" w:lineRule="auto"/>
      </w:pPr>
    </w:p>
    <w:p w14:paraId="1CD1711F" w14:textId="0BF749DE" w:rsidR="00DB1549" w:rsidRPr="00DC604E" w:rsidRDefault="007E250E" w:rsidP="0073257F">
      <w:pPr>
        <w:keepNext/>
        <w:spacing w:line="360" w:lineRule="auto"/>
        <w:rPr>
          <w:i/>
          <w:iCs/>
        </w:rPr>
      </w:pPr>
      <w:r w:rsidRPr="00DC604E">
        <w:rPr>
          <w:i/>
          <w:iCs/>
        </w:rPr>
        <w:t>Health domains and outcomes</w:t>
      </w:r>
    </w:p>
    <w:p w14:paraId="362D36FC" w14:textId="1ED910B8" w:rsidR="004A6C89" w:rsidRDefault="004A6C89" w:rsidP="0073257F">
      <w:pPr>
        <w:keepNext/>
        <w:spacing w:line="360" w:lineRule="auto"/>
        <w:rPr>
          <w:i/>
          <w:iCs/>
        </w:rPr>
      </w:pPr>
      <w:r>
        <w:t>Primary and secondary health domains were extracted across all tendinopathy types and are presented in Table 2. Disability was the most common primary health domain (n=282) for RCRSP (123), Achilles (67)</w:t>
      </w:r>
      <w:r w:rsidR="00375A83">
        <w:t>,</w:t>
      </w:r>
      <w:r>
        <w:t xml:space="preserve"> and patellar (40) tendinopathies (see Table 2); for lateral elbow, physical function capacity was most common (40). Secondary health domains also varied across tendinopathies with Achilles and patellar both reporting participant rating of overall condition most frequently (15 and 8 respectively), with disability the most common secondary domain for RCRSP </w:t>
      </w:r>
      <w:r>
        <w:lastRenderedPageBreak/>
        <w:t>(27), and physical function capacity (14) for lateral elbow. Across tendinopathies, adverse effects or cost effectiveness were rarely the primary or secondary focus.</w:t>
      </w:r>
    </w:p>
    <w:p w14:paraId="1A6B0A55" w14:textId="77777777" w:rsidR="009573DF" w:rsidRDefault="009573DF" w:rsidP="0073257F">
      <w:pPr>
        <w:spacing w:line="360" w:lineRule="auto"/>
      </w:pPr>
    </w:p>
    <w:p w14:paraId="2AAE3991" w14:textId="41732431" w:rsidR="007B076A" w:rsidRPr="00C53926" w:rsidRDefault="009573DF" w:rsidP="0052634C">
      <w:pPr>
        <w:spacing w:line="276" w:lineRule="auto"/>
        <w:rPr>
          <w:rFonts w:cstheme="minorHAnsi"/>
          <w:b/>
          <w:bCs/>
          <w:iCs/>
        </w:rPr>
      </w:pPr>
      <w:r w:rsidRPr="00DC604E">
        <w:rPr>
          <w:b/>
          <w:iCs/>
        </w:rPr>
        <w:t>Table 2:</w:t>
      </w:r>
      <w:r w:rsidRPr="00D52221">
        <w:rPr>
          <w:bCs/>
          <w:iCs/>
        </w:rPr>
        <w:t xml:space="preserve"> </w:t>
      </w:r>
      <w:r w:rsidR="0001333F">
        <w:rPr>
          <w:bCs/>
          <w:iCs/>
        </w:rPr>
        <w:t>Instances of p</w:t>
      </w:r>
      <w:r w:rsidRPr="00D52221">
        <w:rPr>
          <w:bCs/>
          <w:iCs/>
        </w:rPr>
        <w:t xml:space="preserve">rimary and secondary </w:t>
      </w:r>
      <w:r w:rsidR="007E250E">
        <w:rPr>
          <w:bCs/>
          <w:iCs/>
        </w:rPr>
        <w:t xml:space="preserve">health domains </w:t>
      </w:r>
      <w:r w:rsidR="0001333F">
        <w:rPr>
          <w:bCs/>
          <w:iCs/>
        </w:rPr>
        <w:t>reported according to tendinopathy type</w:t>
      </w:r>
    </w:p>
    <w:tbl>
      <w:tblPr>
        <w:tblStyle w:val="TableGrid"/>
        <w:tblW w:w="0" w:type="auto"/>
        <w:tblLook w:val="04A0" w:firstRow="1" w:lastRow="0" w:firstColumn="1" w:lastColumn="0" w:noHBand="0" w:noVBand="1"/>
      </w:tblPr>
      <w:tblGrid>
        <w:gridCol w:w="2331"/>
        <w:gridCol w:w="1149"/>
        <w:gridCol w:w="784"/>
        <w:gridCol w:w="1012"/>
        <w:gridCol w:w="979"/>
        <w:gridCol w:w="915"/>
        <w:gridCol w:w="1004"/>
        <w:gridCol w:w="842"/>
      </w:tblGrid>
      <w:tr w:rsidR="00372986" w:rsidRPr="00C53926" w14:paraId="610C5262" w14:textId="77777777" w:rsidTr="3A8BAEDD">
        <w:tc>
          <w:tcPr>
            <w:tcW w:w="2331" w:type="dxa"/>
          </w:tcPr>
          <w:p w14:paraId="78E32F49" w14:textId="6C973A43" w:rsidR="008C70B2" w:rsidRPr="00C53926" w:rsidRDefault="00314D04" w:rsidP="0052634C">
            <w:pPr>
              <w:spacing w:line="276" w:lineRule="auto"/>
              <w:rPr>
                <w:rFonts w:cstheme="minorHAnsi"/>
                <w:iCs/>
              </w:rPr>
            </w:pPr>
            <w:r>
              <w:rPr>
                <w:rFonts w:cstheme="minorHAnsi"/>
                <w:iCs/>
              </w:rPr>
              <w:t>ICON domain</w:t>
            </w:r>
          </w:p>
        </w:tc>
        <w:tc>
          <w:tcPr>
            <w:tcW w:w="1149" w:type="dxa"/>
          </w:tcPr>
          <w:p w14:paraId="512EA4E9" w14:textId="09F908BC" w:rsidR="008C70B2" w:rsidRPr="00C53926" w:rsidRDefault="008C70B2" w:rsidP="0052634C">
            <w:pPr>
              <w:spacing w:line="276" w:lineRule="auto"/>
              <w:rPr>
                <w:rFonts w:cstheme="minorHAnsi"/>
                <w:iCs/>
              </w:rPr>
            </w:pPr>
          </w:p>
        </w:tc>
        <w:tc>
          <w:tcPr>
            <w:tcW w:w="784" w:type="dxa"/>
          </w:tcPr>
          <w:p w14:paraId="3E9A0BE4" w14:textId="6BF4AEEF" w:rsidR="008C70B2" w:rsidRPr="00C53926" w:rsidRDefault="00341656" w:rsidP="0052634C">
            <w:pPr>
              <w:spacing w:line="276" w:lineRule="auto"/>
              <w:rPr>
                <w:rFonts w:cstheme="minorHAnsi"/>
                <w:iCs/>
              </w:rPr>
            </w:pPr>
            <w:r>
              <w:rPr>
                <w:rFonts w:cstheme="minorHAnsi"/>
                <w:iCs/>
              </w:rPr>
              <w:t>All (n = 436</w:t>
            </w:r>
            <w:r w:rsidR="008C70B2" w:rsidRPr="00C53926">
              <w:rPr>
                <w:rFonts w:cstheme="minorHAnsi"/>
                <w:iCs/>
              </w:rPr>
              <w:t>)</w:t>
            </w:r>
          </w:p>
        </w:tc>
        <w:tc>
          <w:tcPr>
            <w:tcW w:w="1012" w:type="dxa"/>
          </w:tcPr>
          <w:p w14:paraId="36C6F3C9" w14:textId="77777777" w:rsidR="008C70B2" w:rsidRPr="00C53926" w:rsidRDefault="008C70B2" w:rsidP="0052634C">
            <w:pPr>
              <w:spacing w:line="276" w:lineRule="auto"/>
              <w:rPr>
                <w:rFonts w:cstheme="minorHAnsi"/>
              </w:rPr>
            </w:pPr>
            <w:r w:rsidRPr="00C53926">
              <w:rPr>
                <w:rFonts w:cstheme="minorHAnsi"/>
              </w:rPr>
              <w:t>Rotator cuff</w:t>
            </w:r>
          </w:p>
          <w:p w14:paraId="09832437" w14:textId="0D4B2E3F" w:rsidR="008C70B2" w:rsidRPr="00C53926" w:rsidRDefault="00341656" w:rsidP="0052634C">
            <w:pPr>
              <w:spacing w:line="276" w:lineRule="auto"/>
              <w:rPr>
                <w:rFonts w:cstheme="minorHAnsi"/>
                <w:iCs/>
              </w:rPr>
            </w:pPr>
            <w:r>
              <w:rPr>
                <w:rFonts w:cstheme="minorHAnsi"/>
              </w:rPr>
              <w:t>(n=165</w:t>
            </w:r>
            <w:r w:rsidR="008C70B2" w:rsidRPr="00C53926">
              <w:rPr>
                <w:rFonts w:cstheme="minorHAnsi"/>
              </w:rPr>
              <w:t>)</w:t>
            </w:r>
          </w:p>
        </w:tc>
        <w:tc>
          <w:tcPr>
            <w:tcW w:w="979" w:type="dxa"/>
          </w:tcPr>
          <w:p w14:paraId="0710FC52" w14:textId="77777777" w:rsidR="008C70B2" w:rsidRPr="00C53926" w:rsidRDefault="008C70B2" w:rsidP="0052634C">
            <w:pPr>
              <w:spacing w:line="276" w:lineRule="auto"/>
              <w:rPr>
                <w:rFonts w:cstheme="minorHAnsi"/>
              </w:rPr>
            </w:pPr>
            <w:r w:rsidRPr="00C53926">
              <w:rPr>
                <w:rFonts w:cstheme="minorHAnsi"/>
              </w:rPr>
              <w:t>Achilles</w:t>
            </w:r>
          </w:p>
          <w:p w14:paraId="31AC7AF4" w14:textId="0165F3A3" w:rsidR="008C70B2" w:rsidRPr="00C53926" w:rsidRDefault="00341656" w:rsidP="0052634C">
            <w:pPr>
              <w:spacing w:line="276" w:lineRule="auto"/>
              <w:rPr>
                <w:rFonts w:cstheme="minorHAnsi"/>
                <w:iCs/>
              </w:rPr>
            </w:pPr>
            <w:r>
              <w:rPr>
                <w:rFonts w:cstheme="minorHAnsi"/>
              </w:rPr>
              <w:t>(n=99</w:t>
            </w:r>
            <w:r w:rsidR="008C70B2" w:rsidRPr="00C53926">
              <w:rPr>
                <w:rFonts w:cstheme="minorHAnsi"/>
              </w:rPr>
              <w:t>)</w:t>
            </w:r>
          </w:p>
        </w:tc>
        <w:tc>
          <w:tcPr>
            <w:tcW w:w="915" w:type="dxa"/>
          </w:tcPr>
          <w:p w14:paraId="40F5C014" w14:textId="77777777" w:rsidR="008C70B2" w:rsidRPr="00C53926" w:rsidRDefault="008C70B2" w:rsidP="0052634C">
            <w:pPr>
              <w:spacing w:line="276" w:lineRule="auto"/>
              <w:rPr>
                <w:rFonts w:cstheme="minorHAnsi"/>
                <w:iCs/>
              </w:rPr>
            </w:pPr>
            <w:r w:rsidRPr="00C53926">
              <w:rPr>
                <w:rFonts w:cstheme="minorHAnsi"/>
                <w:iCs/>
              </w:rPr>
              <w:t>Lateral Elbow</w:t>
            </w:r>
          </w:p>
          <w:p w14:paraId="2ED68626" w14:textId="1178646F" w:rsidR="008C70B2" w:rsidRPr="00C53926" w:rsidRDefault="00341656" w:rsidP="0052634C">
            <w:pPr>
              <w:spacing w:line="276" w:lineRule="auto"/>
              <w:rPr>
                <w:rFonts w:cstheme="minorHAnsi"/>
                <w:iCs/>
              </w:rPr>
            </w:pPr>
            <w:r>
              <w:rPr>
                <w:rFonts w:cstheme="minorHAnsi"/>
                <w:iCs/>
              </w:rPr>
              <w:t>(n=81</w:t>
            </w:r>
            <w:r w:rsidR="008C70B2" w:rsidRPr="00C53926">
              <w:rPr>
                <w:rFonts w:cstheme="minorHAnsi"/>
                <w:iCs/>
              </w:rPr>
              <w:t>)</w:t>
            </w:r>
          </w:p>
        </w:tc>
        <w:tc>
          <w:tcPr>
            <w:tcW w:w="1004" w:type="dxa"/>
          </w:tcPr>
          <w:p w14:paraId="76E53332" w14:textId="77777777" w:rsidR="008C70B2" w:rsidRPr="00C53926" w:rsidRDefault="008C70B2" w:rsidP="0052634C">
            <w:pPr>
              <w:spacing w:line="276" w:lineRule="auto"/>
              <w:rPr>
                <w:rFonts w:cstheme="minorHAnsi"/>
                <w:iCs/>
              </w:rPr>
            </w:pPr>
            <w:r w:rsidRPr="00C53926">
              <w:rPr>
                <w:rFonts w:cstheme="minorHAnsi"/>
                <w:iCs/>
              </w:rPr>
              <w:t>Patellar</w:t>
            </w:r>
          </w:p>
          <w:p w14:paraId="51EA0BBC" w14:textId="77777777" w:rsidR="008C70B2" w:rsidRPr="00C53926" w:rsidRDefault="008C70B2" w:rsidP="0052634C">
            <w:pPr>
              <w:spacing w:line="276" w:lineRule="auto"/>
              <w:rPr>
                <w:rFonts w:cstheme="minorHAnsi"/>
                <w:iCs/>
              </w:rPr>
            </w:pPr>
            <w:r w:rsidRPr="00C53926">
              <w:rPr>
                <w:rFonts w:cstheme="minorHAnsi"/>
                <w:iCs/>
              </w:rPr>
              <w:t>(n=53)</w:t>
            </w:r>
          </w:p>
        </w:tc>
        <w:tc>
          <w:tcPr>
            <w:tcW w:w="842" w:type="dxa"/>
          </w:tcPr>
          <w:p w14:paraId="186B145D" w14:textId="77777777" w:rsidR="008C70B2" w:rsidRDefault="008C70B2" w:rsidP="0052634C">
            <w:pPr>
              <w:spacing w:line="276" w:lineRule="auto"/>
              <w:rPr>
                <w:rFonts w:cstheme="minorHAnsi"/>
                <w:iCs/>
              </w:rPr>
            </w:pPr>
            <w:r w:rsidRPr="00C53926">
              <w:rPr>
                <w:rFonts w:cstheme="minorHAnsi"/>
                <w:iCs/>
              </w:rPr>
              <w:t>Other</w:t>
            </w:r>
          </w:p>
          <w:p w14:paraId="1AD10DD5" w14:textId="444D2502" w:rsidR="00193FA7" w:rsidRPr="00C53926" w:rsidRDefault="00193FA7" w:rsidP="0052634C">
            <w:pPr>
              <w:spacing w:line="276" w:lineRule="auto"/>
              <w:rPr>
                <w:rFonts w:cstheme="minorHAnsi"/>
                <w:iCs/>
              </w:rPr>
            </w:pPr>
            <w:r>
              <w:rPr>
                <w:rFonts w:cstheme="minorHAnsi"/>
                <w:iCs/>
              </w:rPr>
              <w:t>(n=38)</w:t>
            </w:r>
          </w:p>
        </w:tc>
      </w:tr>
      <w:tr w:rsidR="00634D7D" w:rsidRPr="00C53926" w14:paraId="7E9445E9" w14:textId="77777777" w:rsidTr="3A8BAEDD">
        <w:tc>
          <w:tcPr>
            <w:tcW w:w="2331" w:type="dxa"/>
            <w:vMerge w:val="restart"/>
            <w:vAlign w:val="center"/>
          </w:tcPr>
          <w:p w14:paraId="56EC6FFD" w14:textId="77777777" w:rsidR="00634D7D" w:rsidRPr="00C53926" w:rsidRDefault="00634D7D" w:rsidP="0052634C">
            <w:pPr>
              <w:spacing w:line="276" w:lineRule="auto"/>
              <w:rPr>
                <w:rFonts w:cstheme="minorHAnsi"/>
                <w:color w:val="000000"/>
              </w:rPr>
            </w:pPr>
            <w:r w:rsidRPr="00C53926">
              <w:rPr>
                <w:rFonts w:cstheme="minorHAnsi"/>
                <w:color w:val="000000"/>
              </w:rPr>
              <w:t>Adverse effects/events</w:t>
            </w:r>
          </w:p>
          <w:p w14:paraId="30C167AC" w14:textId="06C4EB5E" w:rsidR="00634D7D" w:rsidRPr="00C53926" w:rsidRDefault="00634D7D" w:rsidP="0052634C">
            <w:pPr>
              <w:spacing w:line="276" w:lineRule="auto"/>
              <w:rPr>
                <w:rFonts w:cstheme="minorHAnsi"/>
                <w:b/>
                <w:bCs/>
                <w:iCs/>
              </w:rPr>
            </w:pPr>
          </w:p>
        </w:tc>
        <w:tc>
          <w:tcPr>
            <w:tcW w:w="1149" w:type="dxa"/>
          </w:tcPr>
          <w:p w14:paraId="7788A56E" w14:textId="741662DB" w:rsidR="00634D7D" w:rsidRPr="00C53926" w:rsidRDefault="00634D7D" w:rsidP="0052634C">
            <w:pPr>
              <w:spacing w:line="276" w:lineRule="auto"/>
              <w:rPr>
                <w:rFonts w:cstheme="minorHAnsi"/>
                <w:iCs/>
              </w:rPr>
            </w:pPr>
            <w:r w:rsidRPr="00C53926">
              <w:rPr>
                <w:rFonts w:cstheme="minorHAnsi"/>
                <w:iCs/>
              </w:rPr>
              <w:t>Primary</w:t>
            </w:r>
          </w:p>
        </w:tc>
        <w:tc>
          <w:tcPr>
            <w:tcW w:w="784" w:type="dxa"/>
            <w:vAlign w:val="bottom"/>
          </w:tcPr>
          <w:p w14:paraId="06B304CF" w14:textId="39B98FF5" w:rsidR="00634D7D" w:rsidRPr="00C53926" w:rsidRDefault="00634D7D" w:rsidP="0052634C">
            <w:pPr>
              <w:spacing w:line="276" w:lineRule="auto"/>
              <w:rPr>
                <w:rFonts w:cstheme="minorHAnsi"/>
                <w:iCs/>
              </w:rPr>
            </w:pPr>
            <w:r>
              <w:rPr>
                <w:rFonts w:ascii="Calibri" w:hAnsi="Calibri" w:cs="Calibri"/>
                <w:color w:val="000000"/>
              </w:rPr>
              <w:t>11</w:t>
            </w:r>
          </w:p>
        </w:tc>
        <w:tc>
          <w:tcPr>
            <w:tcW w:w="1012" w:type="dxa"/>
          </w:tcPr>
          <w:p w14:paraId="1CCC2C14" w14:textId="53376FC9" w:rsidR="00634D7D" w:rsidRPr="00C53926" w:rsidRDefault="00634D7D" w:rsidP="0052634C">
            <w:pPr>
              <w:spacing w:line="276" w:lineRule="auto"/>
              <w:rPr>
                <w:rFonts w:cstheme="minorHAnsi"/>
                <w:iCs/>
              </w:rPr>
            </w:pPr>
            <w:r>
              <w:rPr>
                <w:rFonts w:cstheme="minorHAnsi"/>
                <w:iCs/>
              </w:rPr>
              <w:t>1</w:t>
            </w:r>
          </w:p>
        </w:tc>
        <w:tc>
          <w:tcPr>
            <w:tcW w:w="979" w:type="dxa"/>
          </w:tcPr>
          <w:p w14:paraId="5FC3BB8D" w14:textId="00F2399A" w:rsidR="00634D7D" w:rsidRPr="00C53926" w:rsidRDefault="00634D7D" w:rsidP="0052634C">
            <w:pPr>
              <w:spacing w:line="276" w:lineRule="auto"/>
              <w:rPr>
                <w:rFonts w:cstheme="minorHAnsi"/>
                <w:iCs/>
              </w:rPr>
            </w:pPr>
            <w:r>
              <w:rPr>
                <w:rFonts w:cstheme="minorHAnsi"/>
                <w:iCs/>
              </w:rPr>
              <w:t>6</w:t>
            </w:r>
          </w:p>
        </w:tc>
        <w:tc>
          <w:tcPr>
            <w:tcW w:w="915" w:type="dxa"/>
          </w:tcPr>
          <w:p w14:paraId="72FF0A94" w14:textId="3FAE7926" w:rsidR="00634D7D" w:rsidRPr="00C53926" w:rsidRDefault="00634D7D" w:rsidP="0052634C">
            <w:pPr>
              <w:spacing w:line="276" w:lineRule="auto"/>
              <w:rPr>
                <w:rFonts w:cstheme="minorHAnsi"/>
                <w:iCs/>
              </w:rPr>
            </w:pPr>
            <w:r>
              <w:rPr>
                <w:rFonts w:cstheme="minorHAnsi"/>
                <w:iCs/>
              </w:rPr>
              <w:t>1</w:t>
            </w:r>
          </w:p>
        </w:tc>
        <w:tc>
          <w:tcPr>
            <w:tcW w:w="1004" w:type="dxa"/>
          </w:tcPr>
          <w:p w14:paraId="3D45C15B" w14:textId="03F229A6" w:rsidR="00634D7D" w:rsidRPr="00C53926" w:rsidRDefault="00634D7D" w:rsidP="0052634C">
            <w:pPr>
              <w:spacing w:line="276" w:lineRule="auto"/>
              <w:rPr>
                <w:rFonts w:cstheme="minorHAnsi"/>
                <w:iCs/>
              </w:rPr>
            </w:pPr>
            <w:r>
              <w:rPr>
                <w:rFonts w:cstheme="minorHAnsi"/>
                <w:iCs/>
              </w:rPr>
              <w:t>2</w:t>
            </w:r>
          </w:p>
        </w:tc>
        <w:tc>
          <w:tcPr>
            <w:tcW w:w="842" w:type="dxa"/>
          </w:tcPr>
          <w:p w14:paraId="3817A7FC" w14:textId="38FD06E5" w:rsidR="00634D7D" w:rsidRPr="00C53926" w:rsidRDefault="00634D7D" w:rsidP="0052634C">
            <w:pPr>
              <w:spacing w:line="276" w:lineRule="auto"/>
              <w:rPr>
                <w:rFonts w:cstheme="minorHAnsi"/>
                <w:iCs/>
              </w:rPr>
            </w:pPr>
            <w:r>
              <w:rPr>
                <w:rFonts w:cstheme="minorHAnsi"/>
                <w:iCs/>
              </w:rPr>
              <w:t>1</w:t>
            </w:r>
          </w:p>
        </w:tc>
      </w:tr>
      <w:tr w:rsidR="00634D7D" w:rsidRPr="00C53926" w14:paraId="24E8D363" w14:textId="77777777" w:rsidTr="3A8BAEDD">
        <w:tc>
          <w:tcPr>
            <w:tcW w:w="2331" w:type="dxa"/>
            <w:vMerge/>
          </w:tcPr>
          <w:p w14:paraId="194AF3E8" w14:textId="272B12EB" w:rsidR="00634D7D" w:rsidRPr="00C53926" w:rsidRDefault="00634D7D" w:rsidP="0052634C">
            <w:pPr>
              <w:spacing w:line="276" w:lineRule="auto"/>
              <w:rPr>
                <w:rFonts w:cstheme="minorHAnsi"/>
                <w:iCs/>
              </w:rPr>
            </w:pPr>
          </w:p>
        </w:tc>
        <w:tc>
          <w:tcPr>
            <w:tcW w:w="1149" w:type="dxa"/>
          </w:tcPr>
          <w:p w14:paraId="102073A1" w14:textId="47480048" w:rsidR="00634D7D" w:rsidRPr="00C53926" w:rsidRDefault="00634D7D" w:rsidP="0052634C">
            <w:pPr>
              <w:spacing w:line="276" w:lineRule="auto"/>
              <w:rPr>
                <w:rFonts w:cstheme="minorHAnsi"/>
                <w:iCs/>
              </w:rPr>
            </w:pPr>
            <w:r w:rsidRPr="00C53926">
              <w:rPr>
                <w:rFonts w:cstheme="minorHAnsi"/>
                <w:iCs/>
              </w:rPr>
              <w:t>Secondary</w:t>
            </w:r>
          </w:p>
        </w:tc>
        <w:tc>
          <w:tcPr>
            <w:tcW w:w="784" w:type="dxa"/>
            <w:vAlign w:val="bottom"/>
          </w:tcPr>
          <w:p w14:paraId="6B7BD349" w14:textId="1E8236A4" w:rsidR="00634D7D" w:rsidRPr="00C53926" w:rsidRDefault="00341656" w:rsidP="0052634C">
            <w:pPr>
              <w:spacing w:line="276" w:lineRule="auto"/>
              <w:rPr>
                <w:rFonts w:cstheme="minorHAnsi"/>
                <w:iCs/>
              </w:rPr>
            </w:pPr>
            <w:r>
              <w:rPr>
                <w:rFonts w:ascii="Calibri" w:hAnsi="Calibri" w:cs="Calibri"/>
                <w:color w:val="000000"/>
              </w:rPr>
              <w:t>13</w:t>
            </w:r>
          </w:p>
        </w:tc>
        <w:tc>
          <w:tcPr>
            <w:tcW w:w="1012" w:type="dxa"/>
          </w:tcPr>
          <w:p w14:paraId="086586B8" w14:textId="1503FD43" w:rsidR="00634D7D" w:rsidRPr="00C53926" w:rsidRDefault="00634D7D" w:rsidP="0052634C">
            <w:pPr>
              <w:spacing w:line="276" w:lineRule="auto"/>
              <w:rPr>
                <w:rFonts w:cstheme="minorHAnsi"/>
                <w:iCs/>
              </w:rPr>
            </w:pPr>
            <w:r>
              <w:rPr>
                <w:rFonts w:cstheme="minorHAnsi"/>
                <w:iCs/>
              </w:rPr>
              <w:t>4</w:t>
            </w:r>
          </w:p>
        </w:tc>
        <w:tc>
          <w:tcPr>
            <w:tcW w:w="979" w:type="dxa"/>
          </w:tcPr>
          <w:p w14:paraId="39EDE33D" w14:textId="38EA2313" w:rsidR="00634D7D" w:rsidRPr="00C53926" w:rsidRDefault="00341656" w:rsidP="0052634C">
            <w:pPr>
              <w:spacing w:line="276" w:lineRule="auto"/>
              <w:rPr>
                <w:rFonts w:cstheme="minorHAnsi"/>
                <w:iCs/>
              </w:rPr>
            </w:pPr>
            <w:r>
              <w:rPr>
                <w:rFonts w:cstheme="minorHAnsi"/>
                <w:iCs/>
              </w:rPr>
              <w:t>2</w:t>
            </w:r>
          </w:p>
        </w:tc>
        <w:tc>
          <w:tcPr>
            <w:tcW w:w="915" w:type="dxa"/>
          </w:tcPr>
          <w:p w14:paraId="76335CF2" w14:textId="07E730E7" w:rsidR="00634D7D" w:rsidRPr="00C53926" w:rsidRDefault="00634D7D" w:rsidP="0052634C">
            <w:pPr>
              <w:spacing w:line="276" w:lineRule="auto"/>
              <w:rPr>
                <w:rFonts w:cstheme="minorHAnsi"/>
                <w:iCs/>
              </w:rPr>
            </w:pPr>
            <w:r>
              <w:rPr>
                <w:rFonts w:cstheme="minorHAnsi"/>
                <w:iCs/>
              </w:rPr>
              <w:t>2</w:t>
            </w:r>
          </w:p>
        </w:tc>
        <w:tc>
          <w:tcPr>
            <w:tcW w:w="1004" w:type="dxa"/>
          </w:tcPr>
          <w:p w14:paraId="2B819C30" w14:textId="05D09951" w:rsidR="00634D7D" w:rsidRPr="00C53926" w:rsidRDefault="00634D7D" w:rsidP="0052634C">
            <w:pPr>
              <w:spacing w:line="276" w:lineRule="auto"/>
              <w:rPr>
                <w:rFonts w:cstheme="minorHAnsi"/>
                <w:iCs/>
              </w:rPr>
            </w:pPr>
            <w:r>
              <w:rPr>
                <w:rFonts w:cstheme="minorHAnsi"/>
                <w:iCs/>
              </w:rPr>
              <w:t>5</w:t>
            </w:r>
          </w:p>
        </w:tc>
        <w:tc>
          <w:tcPr>
            <w:tcW w:w="842" w:type="dxa"/>
          </w:tcPr>
          <w:p w14:paraId="2651A30C" w14:textId="4F0964C1" w:rsidR="00634D7D" w:rsidRPr="00C53926" w:rsidRDefault="00634D7D" w:rsidP="0052634C">
            <w:pPr>
              <w:spacing w:line="276" w:lineRule="auto"/>
              <w:rPr>
                <w:rFonts w:cstheme="minorHAnsi"/>
                <w:iCs/>
              </w:rPr>
            </w:pPr>
            <w:r>
              <w:rPr>
                <w:rFonts w:cstheme="minorHAnsi"/>
                <w:iCs/>
              </w:rPr>
              <w:t>0</w:t>
            </w:r>
          </w:p>
        </w:tc>
      </w:tr>
      <w:tr w:rsidR="00634D7D" w:rsidRPr="00C53926" w14:paraId="5A896043" w14:textId="77777777" w:rsidTr="3A8BAEDD">
        <w:tc>
          <w:tcPr>
            <w:tcW w:w="2331" w:type="dxa"/>
            <w:vMerge w:val="restart"/>
          </w:tcPr>
          <w:p w14:paraId="13023025" w14:textId="2D3AE892" w:rsidR="00634D7D" w:rsidRPr="00C53926" w:rsidRDefault="00634D7D" w:rsidP="0052634C">
            <w:pPr>
              <w:spacing w:line="276" w:lineRule="auto"/>
              <w:rPr>
                <w:rFonts w:cstheme="minorHAnsi"/>
                <w:iCs/>
              </w:rPr>
            </w:pPr>
            <w:r w:rsidRPr="00C53926">
              <w:rPr>
                <w:rFonts w:cstheme="minorHAnsi"/>
                <w:iCs/>
              </w:rPr>
              <w:t>Clinical examination findings</w:t>
            </w:r>
          </w:p>
        </w:tc>
        <w:tc>
          <w:tcPr>
            <w:tcW w:w="1149" w:type="dxa"/>
          </w:tcPr>
          <w:p w14:paraId="3121F58A" w14:textId="28025024" w:rsidR="00634D7D" w:rsidRPr="00C53926" w:rsidRDefault="00634D7D" w:rsidP="0052634C">
            <w:pPr>
              <w:spacing w:line="276" w:lineRule="auto"/>
              <w:rPr>
                <w:rFonts w:cstheme="minorHAnsi"/>
                <w:iCs/>
              </w:rPr>
            </w:pPr>
            <w:r w:rsidRPr="00C53926">
              <w:rPr>
                <w:rFonts w:cstheme="minorHAnsi"/>
                <w:iCs/>
              </w:rPr>
              <w:t>Primary</w:t>
            </w:r>
          </w:p>
        </w:tc>
        <w:tc>
          <w:tcPr>
            <w:tcW w:w="784" w:type="dxa"/>
            <w:vAlign w:val="bottom"/>
          </w:tcPr>
          <w:p w14:paraId="55FDB13D" w14:textId="59FB0554" w:rsidR="00634D7D" w:rsidRPr="00C53926" w:rsidRDefault="00634D7D" w:rsidP="0052634C">
            <w:pPr>
              <w:spacing w:line="276" w:lineRule="auto"/>
              <w:rPr>
                <w:rFonts w:cstheme="minorHAnsi"/>
                <w:iCs/>
              </w:rPr>
            </w:pPr>
            <w:r>
              <w:rPr>
                <w:rFonts w:ascii="Calibri" w:hAnsi="Calibri" w:cs="Calibri"/>
                <w:color w:val="000000"/>
              </w:rPr>
              <w:t>19</w:t>
            </w:r>
          </w:p>
        </w:tc>
        <w:tc>
          <w:tcPr>
            <w:tcW w:w="1012" w:type="dxa"/>
          </w:tcPr>
          <w:p w14:paraId="00855B0A" w14:textId="71B3AA54" w:rsidR="00634D7D" w:rsidRPr="00C53926" w:rsidRDefault="00634D7D" w:rsidP="0052634C">
            <w:pPr>
              <w:spacing w:line="276" w:lineRule="auto"/>
              <w:rPr>
                <w:rFonts w:cstheme="minorHAnsi"/>
                <w:iCs/>
              </w:rPr>
            </w:pPr>
            <w:r>
              <w:rPr>
                <w:rFonts w:cstheme="minorHAnsi"/>
                <w:iCs/>
              </w:rPr>
              <w:t>10</w:t>
            </w:r>
          </w:p>
        </w:tc>
        <w:tc>
          <w:tcPr>
            <w:tcW w:w="979" w:type="dxa"/>
          </w:tcPr>
          <w:p w14:paraId="17023500" w14:textId="6798808A" w:rsidR="00634D7D" w:rsidRPr="00C53926" w:rsidRDefault="00634D7D" w:rsidP="0052634C">
            <w:pPr>
              <w:spacing w:line="276" w:lineRule="auto"/>
              <w:rPr>
                <w:rFonts w:cstheme="minorHAnsi"/>
                <w:iCs/>
              </w:rPr>
            </w:pPr>
            <w:r>
              <w:rPr>
                <w:rFonts w:cstheme="minorHAnsi"/>
                <w:iCs/>
              </w:rPr>
              <w:t>1</w:t>
            </w:r>
          </w:p>
        </w:tc>
        <w:tc>
          <w:tcPr>
            <w:tcW w:w="915" w:type="dxa"/>
          </w:tcPr>
          <w:p w14:paraId="4AB7F47A" w14:textId="236A79E7" w:rsidR="00634D7D" w:rsidRPr="00C53926" w:rsidRDefault="00634D7D" w:rsidP="0052634C">
            <w:pPr>
              <w:spacing w:line="276" w:lineRule="auto"/>
              <w:rPr>
                <w:rFonts w:cstheme="minorHAnsi"/>
                <w:iCs/>
              </w:rPr>
            </w:pPr>
            <w:r>
              <w:rPr>
                <w:rFonts w:cstheme="minorHAnsi"/>
                <w:iCs/>
              </w:rPr>
              <w:t>2</w:t>
            </w:r>
          </w:p>
        </w:tc>
        <w:tc>
          <w:tcPr>
            <w:tcW w:w="1004" w:type="dxa"/>
          </w:tcPr>
          <w:p w14:paraId="0E2AC97F" w14:textId="35ACE52D" w:rsidR="00634D7D" w:rsidRPr="00C53926" w:rsidRDefault="00634D7D" w:rsidP="0052634C">
            <w:pPr>
              <w:spacing w:line="276" w:lineRule="auto"/>
              <w:rPr>
                <w:rFonts w:cstheme="minorHAnsi"/>
                <w:iCs/>
              </w:rPr>
            </w:pPr>
            <w:r>
              <w:rPr>
                <w:rFonts w:cstheme="minorHAnsi"/>
                <w:iCs/>
              </w:rPr>
              <w:t>0</w:t>
            </w:r>
          </w:p>
        </w:tc>
        <w:tc>
          <w:tcPr>
            <w:tcW w:w="842" w:type="dxa"/>
          </w:tcPr>
          <w:p w14:paraId="1A80CEC7" w14:textId="788ABD71" w:rsidR="00634D7D" w:rsidRPr="00C53926" w:rsidRDefault="00634D7D" w:rsidP="0052634C">
            <w:pPr>
              <w:spacing w:line="276" w:lineRule="auto"/>
              <w:rPr>
                <w:rFonts w:cstheme="minorHAnsi"/>
                <w:iCs/>
              </w:rPr>
            </w:pPr>
            <w:r>
              <w:rPr>
                <w:rFonts w:cstheme="minorHAnsi"/>
                <w:iCs/>
              </w:rPr>
              <w:t>6</w:t>
            </w:r>
          </w:p>
        </w:tc>
      </w:tr>
      <w:tr w:rsidR="00634D7D" w:rsidRPr="00C53926" w14:paraId="3C216F0F" w14:textId="77777777" w:rsidTr="3A8BAEDD">
        <w:tc>
          <w:tcPr>
            <w:tcW w:w="2331" w:type="dxa"/>
            <w:vMerge/>
          </w:tcPr>
          <w:p w14:paraId="633EDE7A" w14:textId="617CE280" w:rsidR="00634D7D" w:rsidRPr="00C53926" w:rsidRDefault="00634D7D" w:rsidP="0052634C">
            <w:pPr>
              <w:spacing w:line="276" w:lineRule="auto"/>
              <w:rPr>
                <w:rFonts w:cstheme="minorHAnsi"/>
                <w:iCs/>
              </w:rPr>
            </w:pPr>
          </w:p>
        </w:tc>
        <w:tc>
          <w:tcPr>
            <w:tcW w:w="1149" w:type="dxa"/>
          </w:tcPr>
          <w:p w14:paraId="49036975" w14:textId="7BC94027" w:rsidR="00634D7D" w:rsidRPr="00C53926" w:rsidRDefault="00634D7D" w:rsidP="0052634C">
            <w:pPr>
              <w:spacing w:line="276" w:lineRule="auto"/>
              <w:rPr>
                <w:rFonts w:cstheme="minorHAnsi"/>
                <w:iCs/>
              </w:rPr>
            </w:pPr>
            <w:r w:rsidRPr="00C53926">
              <w:rPr>
                <w:rFonts w:cstheme="minorHAnsi"/>
                <w:iCs/>
              </w:rPr>
              <w:t>Secondary</w:t>
            </w:r>
          </w:p>
        </w:tc>
        <w:tc>
          <w:tcPr>
            <w:tcW w:w="784" w:type="dxa"/>
            <w:vAlign w:val="bottom"/>
          </w:tcPr>
          <w:p w14:paraId="7DE9DCFC" w14:textId="0E0853F1" w:rsidR="00634D7D" w:rsidRPr="00C53926" w:rsidRDefault="00634D7D" w:rsidP="0052634C">
            <w:pPr>
              <w:spacing w:line="276" w:lineRule="auto"/>
              <w:rPr>
                <w:rFonts w:cstheme="minorHAnsi"/>
                <w:iCs/>
              </w:rPr>
            </w:pPr>
            <w:r>
              <w:rPr>
                <w:rFonts w:ascii="Calibri" w:hAnsi="Calibri" w:cs="Calibri"/>
                <w:color w:val="000000"/>
              </w:rPr>
              <w:t>6</w:t>
            </w:r>
          </w:p>
        </w:tc>
        <w:tc>
          <w:tcPr>
            <w:tcW w:w="1012" w:type="dxa"/>
          </w:tcPr>
          <w:p w14:paraId="0FCFBA9E" w14:textId="098F4B25" w:rsidR="00634D7D" w:rsidRPr="00C53926" w:rsidRDefault="00634D7D" w:rsidP="0052634C">
            <w:pPr>
              <w:spacing w:line="276" w:lineRule="auto"/>
              <w:rPr>
                <w:rFonts w:cstheme="minorHAnsi"/>
                <w:iCs/>
              </w:rPr>
            </w:pPr>
            <w:r>
              <w:rPr>
                <w:rFonts w:cstheme="minorHAnsi"/>
                <w:iCs/>
              </w:rPr>
              <w:t>5</w:t>
            </w:r>
          </w:p>
        </w:tc>
        <w:tc>
          <w:tcPr>
            <w:tcW w:w="979" w:type="dxa"/>
          </w:tcPr>
          <w:p w14:paraId="2F36F7AC" w14:textId="3031B564" w:rsidR="00634D7D" w:rsidRPr="00C53926" w:rsidRDefault="00634D7D" w:rsidP="0052634C">
            <w:pPr>
              <w:spacing w:line="276" w:lineRule="auto"/>
              <w:rPr>
                <w:rFonts w:cstheme="minorHAnsi"/>
                <w:iCs/>
              </w:rPr>
            </w:pPr>
            <w:r>
              <w:rPr>
                <w:rFonts w:cstheme="minorHAnsi"/>
                <w:iCs/>
              </w:rPr>
              <w:t>0</w:t>
            </w:r>
          </w:p>
        </w:tc>
        <w:tc>
          <w:tcPr>
            <w:tcW w:w="915" w:type="dxa"/>
          </w:tcPr>
          <w:p w14:paraId="6AC844C5" w14:textId="4B4BB122" w:rsidR="00634D7D" w:rsidRPr="00C53926" w:rsidRDefault="00634D7D" w:rsidP="0052634C">
            <w:pPr>
              <w:spacing w:line="276" w:lineRule="auto"/>
              <w:rPr>
                <w:rFonts w:cstheme="minorHAnsi"/>
                <w:iCs/>
              </w:rPr>
            </w:pPr>
            <w:r>
              <w:rPr>
                <w:rFonts w:cstheme="minorHAnsi"/>
                <w:iCs/>
              </w:rPr>
              <w:t>1</w:t>
            </w:r>
          </w:p>
        </w:tc>
        <w:tc>
          <w:tcPr>
            <w:tcW w:w="1004" w:type="dxa"/>
          </w:tcPr>
          <w:p w14:paraId="200317C1" w14:textId="456F4B83" w:rsidR="00634D7D" w:rsidRPr="00C53926" w:rsidRDefault="00634D7D" w:rsidP="0052634C">
            <w:pPr>
              <w:spacing w:line="276" w:lineRule="auto"/>
              <w:rPr>
                <w:rFonts w:cstheme="minorHAnsi"/>
                <w:iCs/>
              </w:rPr>
            </w:pPr>
            <w:r>
              <w:rPr>
                <w:rFonts w:cstheme="minorHAnsi"/>
                <w:iCs/>
              </w:rPr>
              <w:t>0</w:t>
            </w:r>
          </w:p>
        </w:tc>
        <w:tc>
          <w:tcPr>
            <w:tcW w:w="842" w:type="dxa"/>
          </w:tcPr>
          <w:p w14:paraId="31B30707" w14:textId="22B08E0C" w:rsidR="00634D7D" w:rsidRPr="00C53926" w:rsidRDefault="00634D7D" w:rsidP="0052634C">
            <w:pPr>
              <w:spacing w:line="276" w:lineRule="auto"/>
              <w:rPr>
                <w:rFonts w:cstheme="minorHAnsi"/>
                <w:iCs/>
              </w:rPr>
            </w:pPr>
            <w:r>
              <w:rPr>
                <w:rFonts w:cstheme="minorHAnsi"/>
                <w:iCs/>
              </w:rPr>
              <w:t>0</w:t>
            </w:r>
          </w:p>
        </w:tc>
      </w:tr>
      <w:tr w:rsidR="00634D7D" w:rsidRPr="00C53926" w14:paraId="3AD65937" w14:textId="77777777" w:rsidTr="3A8BAEDD">
        <w:tc>
          <w:tcPr>
            <w:tcW w:w="2331" w:type="dxa"/>
            <w:vMerge w:val="restart"/>
          </w:tcPr>
          <w:p w14:paraId="69AE7248" w14:textId="64F67B73" w:rsidR="00634D7D" w:rsidRPr="00C53926" w:rsidRDefault="00634D7D" w:rsidP="0052634C">
            <w:pPr>
              <w:spacing w:line="276" w:lineRule="auto"/>
              <w:rPr>
                <w:rFonts w:cstheme="minorHAnsi"/>
                <w:iCs/>
              </w:rPr>
            </w:pPr>
            <w:r w:rsidRPr="00C53926">
              <w:rPr>
                <w:rFonts w:cstheme="minorHAnsi"/>
                <w:iCs/>
              </w:rPr>
              <w:t>Disability</w:t>
            </w:r>
          </w:p>
        </w:tc>
        <w:tc>
          <w:tcPr>
            <w:tcW w:w="1149" w:type="dxa"/>
          </w:tcPr>
          <w:p w14:paraId="3CD1E5B6" w14:textId="378BF40A" w:rsidR="00634D7D" w:rsidRPr="00C53926" w:rsidRDefault="00634D7D" w:rsidP="0052634C">
            <w:pPr>
              <w:spacing w:line="276" w:lineRule="auto"/>
              <w:rPr>
                <w:rFonts w:cstheme="minorHAnsi"/>
                <w:iCs/>
              </w:rPr>
            </w:pPr>
            <w:r w:rsidRPr="00C53926">
              <w:rPr>
                <w:rFonts w:cstheme="minorHAnsi"/>
                <w:iCs/>
              </w:rPr>
              <w:t>Primary</w:t>
            </w:r>
          </w:p>
        </w:tc>
        <w:tc>
          <w:tcPr>
            <w:tcW w:w="784" w:type="dxa"/>
            <w:vAlign w:val="bottom"/>
          </w:tcPr>
          <w:p w14:paraId="64631A35" w14:textId="0E244103" w:rsidR="00634D7D" w:rsidRPr="00C53926" w:rsidRDefault="00341656" w:rsidP="0052634C">
            <w:pPr>
              <w:spacing w:line="276" w:lineRule="auto"/>
              <w:rPr>
                <w:rFonts w:cstheme="minorHAnsi"/>
                <w:iCs/>
              </w:rPr>
            </w:pPr>
            <w:r>
              <w:rPr>
                <w:rFonts w:ascii="Calibri" w:hAnsi="Calibri" w:cs="Calibri"/>
                <w:color w:val="000000"/>
              </w:rPr>
              <w:t>282</w:t>
            </w:r>
          </w:p>
        </w:tc>
        <w:tc>
          <w:tcPr>
            <w:tcW w:w="1012" w:type="dxa"/>
          </w:tcPr>
          <w:p w14:paraId="48F14C3A" w14:textId="34CF2C5E" w:rsidR="00634D7D" w:rsidRPr="00C53926" w:rsidRDefault="00341656" w:rsidP="0052634C">
            <w:pPr>
              <w:spacing w:line="276" w:lineRule="auto"/>
              <w:rPr>
                <w:rFonts w:cstheme="minorHAnsi"/>
                <w:iCs/>
              </w:rPr>
            </w:pPr>
            <w:r>
              <w:rPr>
                <w:rFonts w:cstheme="minorHAnsi"/>
                <w:iCs/>
              </w:rPr>
              <w:t>123</w:t>
            </w:r>
          </w:p>
        </w:tc>
        <w:tc>
          <w:tcPr>
            <w:tcW w:w="979" w:type="dxa"/>
          </w:tcPr>
          <w:p w14:paraId="6C063944" w14:textId="373939F1" w:rsidR="00634D7D" w:rsidRPr="00C53926" w:rsidRDefault="00341656" w:rsidP="0052634C">
            <w:pPr>
              <w:spacing w:line="276" w:lineRule="auto"/>
              <w:rPr>
                <w:rFonts w:cstheme="minorHAnsi"/>
                <w:iCs/>
              </w:rPr>
            </w:pPr>
            <w:r>
              <w:rPr>
                <w:rFonts w:cstheme="minorHAnsi"/>
                <w:iCs/>
              </w:rPr>
              <w:t>67</w:t>
            </w:r>
          </w:p>
        </w:tc>
        <w:tc>
          <w:tcPr>
            <w:tcW w:w="915" w:type="dxa"/>
          </w:tcPr>
          <w:p w14:paraId="45CFCAA2" w14:textId="34C72544" w:rsidR="00634D7D" w:rsidRPr="00C53926" w:rsidRDefault="00634D7D" w:rsidP="0052634C">
            <w:pPr>
              <w:spacing w:line="276" w:lineRule="auto"/>
              <w:rPr>
                <w:rFonts w:cstheme="minorHAnsi"/>
                <w:iCs/>
              </w:rPr>
            </w:pPr>
            <w:r>
              <w:rPr>
                <w:rFonts w:cstheme="minorHAnsi"/>
                <w:iCs/>
              </w:rPr>
              <w:t>35</w:t>
            </w:r>
          </w:p>
        </w:tc>
        <w:tc>
          <w:tcPr>
            <w:tcW w:w="1004" w:type="dxa"/>
          </w:tcPr>
          <w:p w14:paraId="4F9D761A" w14:textId="4C1BA98A" w:rsidR="00634D7D" w:rsidRPr="00C53926" w:rsidRDefault="00634D7D" w:rsidP="0052634C">
            <w:pPr>
              <w:spacing w:line="276" w:lineRule="auto"/>
              <w:rPr>
                <w:rFonts w:cstheme="minorHAnsi"/>
                <w:iCs/>
              </w:rPr>
            </w:pPr>
            <w:r>
              <w:rPr>
                <w:rFonts w:cstheme="minorHAnsi"/>
                <w:iCs/>
              </w:rPr>
              <w:t>40</w:t>
            </w:r>
          </w:p>
        </w:tc>
        <w:tc>
          <w:tcPr>
            <w:tcW w:w="842" w:type="dxa"/>
          </w:tcPr>
          <w:p w14:paraId="66C8A7B3" w14:textId="7938C631" w:rsidR="00634D7D" w:rsidRPr="00C53926" w:rsidRDefault="00634D7D" w:rsidP="0052634C">
            <w:pPr>
              <w:spacing w:line="276" w:lineRule="auto"/>
              <w:rPr>
                <w:rFonts w:cstheme="minorHAnsi"/>
                <w:iCs/>
              </w:rPr>
            </w:pPr>
            <w:r>
              <w:rPr>
                <w:rFonts w:cstheme="minorHAnsi"/>
                <w:iCs/>
              </w:rPr>
              <w:t>17</w:t>
            </w:r>
          </w:p>
        </w:tc>
      </w:tr>
      <w:tr w:rsidR="00634D7D" w:rsidRPr="00C53926" w14:paraId="1431B6A5" w14:textId="77777777" w:rsidTr="3A8BAEDD">
        <w:tc>
          <w:tcPr>
            <w:tcW w:w="2331" w:type="dxa"/>
            <w:vMerge/>
          </w:tcPr>
          <w:p w14:paraId="4C296EFE" w14:textId="42343D4C" w:rsidR="00634D7D" w:rsidRPr="00C53926" w:rsidRDefault="00634D7D" w:rsidP="0052634C">
            <w:pPr>
              <w:spacing w:line="276" w:lineRule="auto"/>
              <w:rPr>
                <w:rFonts w:cstheme="minorHAnsi"/>
                <w:iCs/>
              </w:rPr>
            </w:pPr>
          </w:p>
        </w:tc>
        <w:tc>
          <w:tcPr>
            <w:tcW w:w="1149" w:type="dxa"/>
          </w:tcPr>
          <w:p w14:paraId="58C551A9" w14:textId="0F1DF382" w:rsidR="00634D7D" w:rsidRPr="00C53926" w:rsidRDefault="00634D7D" w:rsidP="0052634C">
            <w:pPr>
              <w:spacing w:line="276" w:lineRule="auto"/>
              <w:rPr>
                <w:rFonts w:cstheme="minorHAnsi"/>
                <w:iCs/>
              </w:rPr>
            </w:pPr>
            <w:r w:rsidRPr="00C53926">
              <w:rPr>
                <w:rFonts w:cstheme="minorHAnsi"/>
                <w:iCs/>
              </w:rPr>
              <w:t>Secondary</w:t>
            </w:r>
          </w:p>
        </w:tc>
        <w:tc>
          <w:tcPr>
            <w:tcW w:w="784" w:type="dxa"/>
            <w:vAlign w:val="bottom"/>
          </w:tcPr>
          <w:p w14:paraId="6C93E235" w14:textId="61833ECD" w:rsidR="00634D7D" w:rsidRPr="00C53926" w:rsidRDefault="00341656" w:rsidP="0052634C">
            <w:pPr>
              <w:spacing w:line="276" w:lineRule="auto"/>
              <w:rPr>
                <w:rFonts w:cstheme="minorHAnsi"/>
                <w:iCs/>
              </w:rPr>
            </w:pPr>
            <w:r>
              <w:rPr>
                <w:rFonts w:ascii="Calibri" w:hAnsi="Calibri" w:cs="Calibri"/>
                <w:color w:val="000000"/>
              </w:rPr>
              <w:t>53</w:t>
            </w:r>
          </w:p>
        </w:tc>
        <w:tc>
          <w:tcPr>
            <w:tcW w:w="1012" w:type="dxa"/>
          </w:tcPr>
          <w:p w14:paraId="005A0697" w14:textId="0E5DD614" w:rsidR="00634D7D" w:rsidRPr="00C53926" w:rsidRDefault="00341656" w:rsidP="0052634C">
            <w:pPr>
              <w:spacing w:line="276" w:lineRule="auto"/>
              <w:rPr>
                <w:rFonts w:cstheme="minorHAnsi"/>
                <w:iCs/>
              </w:rPr>
            </w:pPr>
            <w:r>
              <w:rPr>
                <w:rFonts w:cstheme="minorHAnsi"/>
                <w:iCs/>
              </w:rPr>
              <w:t>27</w:t>
            </w:r>
          </w:p>
        </w:tc>
        <w:tc>
          <w:tcPr>
            <w:tcW w:w="979" w:type="dxa"/>
          </w:tcPr>
          <w:p w14:paraId="18BB81BC" w14:textId="7E087DEA" w:rsidR="00634D7D" w:rsidRPr="00C53926" w:rsidRDefault="00634D7D" w:rsidP="0052634C">
            <w:pPr>
              <w:spacing w:line="276" w:lineRule="auto"/>
              <w:rPr>
                <w:rFonts w:cstheme="minorHAnsi"/>
                <w:iCs/>
              </w:rPr>
            </w:pPr>
            <w:r>
              <w:rPr>
                <w:rFonts w:cstheme="minorHAnsi"/>
                <w:iCs/>
              </w:rPr>
              <w:t>5</w:t>
            </w:r>
          </w:p>
        </w:tc>
        <w:tc>
          <w:tcPr>
            <w:tcW w:w="915" w:type="dxa"/>
          </w:tcPr>
          <w:p w14:paraId="6C6CC996" w14:textId="5BF090DE" w:rsidR="00634D7D" w:rsidRPr="00C53926" w:rsidRDefault="00341656" w:rsidP="0052634C">
            <w:pPr>
              <w:spacing w:line="276" w:lineRule="auto"/>
              <w:rPr>
                <w:rFonts w:cstheme="minorHAnsi"/>
                <w:iCs/>
              </w:rPr>
            </w:pPr>
            <w:r>
              <w:rPr>
                <w:rFonts w:cstheme="minorHAnsi"/>
                <w:iCs/>
              </w:rPr>
              <w:t>11</w:t>
            </w:r>
          </w:p>
        </w:tc>
        <w:tc>
          <w:tcPr>
            <w:tcW w:w="1004" w:type="dxa"/>
          </w:tcPr>
          <w:p w14:paraId="247E61DB" w14:textId="3C4372D1" w:rsidR="00634D7D" w:rsidRPr="00C53926" w:rsidRDefault="00634D7D" w:rsidP="0052634C">
            <w:pPr>
              <w:spacing w:line="276" w:lineRule="auto"/>
              <w:rPr>
                <w:rFonts w:cstheme="minorHAnsi"/>
                <w:iCs/>
              </w:rPr>
            </w:pPr>
            <w:r>
              <w:rPr>
                <w:rFonts w:cstheme="minorHAnsi"/>
                <w:iCs/>
              </w:rPr>
              <w:t>6</w:t>
            </w:r>
          </w:p>
        </w:tc>
        <w:tc>
          <w:tcPr>
            <w:tcW w:w="842" w:type="dxa"/>
          </w:tcPr>
          <w:p w14:paraId="1F7CDCDC" w14:textId="6A4636A7" w:rsidR="00634D7D" w:rsidRPr="00C53926" w:rsidRDefault="00634D7D" w:rsidP="0052634C">
            <w:pPr>
              <w:spacing w:line="276" w:lineRule="auto"/>
              <w:rPr>
                <w:rFonts w:cstheme="minorHAnsi"/>
                <w:iCs/>
              </w:rPr>
            </w:pPr>
            <w:r>
              <w:rPr>
                <w:rFonts w:cstheme="minorHAnsi"/>
                <w:iCs/>
              </w:rPr>
              <w:t>4</w:t>
            </w:r>
          </w:p>
        </w:tc>
      </w:tr>
      <w:tr w:rsidR="00634D7D" w:rsidRPr="00C53926" w14:paraId="24C15D45" w14:textId="77777777" w:rsidTr="3A8BAEDD">
        <w:tc>
          <w:tcPr>
            <w:tcW w:w="2331" w:type="dxa"/>
            <w:vMerge w:val="restart"/>
          </w:tcPr>
          <w:p w14:paraId="41823CE4" w14:textId="77777777" w:rsidR="00634D7D" w:rsidRPr="00C53926" w:rsidRDefault="00634D7D" w:rsidP="0052634C">
            <w:pPr>
              <w:spacing w:line="276" w:lineRule="auto"/>
              <w:rPr>
                <w:rFonts w:cstheme="minorHAnsi"/>
                <w:color w:val="000000"/>
              </w:rPr>
            </w:pPr>
            <w:r w:rsidRPr="00C53926">
              <w:rPr>
                <w:rFonts w:cstheme="minorHAnsi"/>
                <w:color w:val="000000"/>
              </w:rPr>
              <w:t>Drop out or discontinued treatment</w:t>
            </w:r>
          </w:p>
          <w:p w14:paraId="52389FCC" w14:textId="69206BEA" w:rsidR="00634D7D" w:rsidRPr="00C53926" w:rsidRDefault="00634D7D" w:rsidP="0052634C">
            <w:pPr>
              <w:spacing w:line="276" w:lineRule="auto"/>
              <w:rPr>
                <w:rFonts w:cstheme="minorHAnsi"/>
                <w:iCs/>
              </w:rPr>
            </w:pPr>
          </w:p>
        </w:tc>
        <w:tc>
          <w:tcPr>
            <w:tcW w:w="1149" w:type="dxa"/>
          </w:tcPr>
          <w:p w14:paraId="62D380C8" w14:textId="3570F6D4" w:rsidR="00634D7D" w:rsidRPr="00C53926" w:rsidRDefault="00634D7D" w:rsidP="0052634C">
            <w:pPr>
              <w:spacing w:line="276" w:lineRule="auto"/>
              <w:rPr>
                <w:rFonts w:cstheme="minorHAnsi"/>
                <w:iCs/>
              </w:rPr>
            </w:pPr>
            <w:r w:rsidRPr="00C53926">
              <w:rPr>
                <w:rFonts w:cstheme="minorHAnsi"/>
                <w:iCs/>
              </w:rPr>
              <w:t>Primary</w:t>
            </w:r>
          </w:p>
        </w:tc>
        <w:tc>
          <w:tcPr>
            <w:tcW w:w="784" w:type="dxa"/>
            <w:vAlign w:val="bottom"/>
          </w:tcPr>
          <w:p w14:paraId="6157365D" w14:textId="63544CBD" w:rsidR="00634D7D" w:rsidRPr="00C53926" w:rsidRDefault="00634D7D" w:rsidP="0052634C">
            <w:pPr>
              <w:spacing w:line="276" w:lineRule="auto"/>
              <w:rPr>
                <w:rFonts w:cstheme="minorHAnsi"/>
                <w:iCs/>
              </w:rPr>
            </w:pPr>
            <w:r>
              <w:rPr>
                <w:rFonts w:ascii="Calibri" w:hAnsi="Calibri" w:cs="Calibri"/>
                <w:color w:val="000000"/>
              </w:rPr>
              <w:t>7</w:t>
            </w:r>
          </w:p>
        </w:tc>
        <w:tc>
          <w:tcPr>
            <w:tcW w:w="1012" w:type="dxa"/>
          </w:tcPr>
          <w:p w14:paraId="69CD8525" w14:textId="6F4B0E83" w:rsidR="00634D7D" w:rsidRPr="00C53926" w:rsidRDefault="00634D7D" w:rsidP="0052634C">
            <w:pPr>
              <w:spacing w:line="276" w:lineRule="auto"/>
              <w:rPr>
                <w:rFonts w:cstheme="minorHAnsi"/>
                <w:iCs/>
              </w:rPr>
            </w:pPr>
            <w:r>
              <w:rPr>
                <w:rFonts w:cstheme="minorHAnsi"/>
                <w:iCs/>
              </w:rPr>
              <w:t>1</w:t>
            </w:r>
          </w:p>
        </w:tc>
        <w:tc>
          <w:tcPr>
            <w:tcW w:w="979" w:type="dxa"/>
          </w:tcPr>
          <w:p w14:paraId="0C79C3D9" w14:textId="044FDBC0" w:rsidR="00634D7D" w:rsidRPr="00C53926" w:rsidRDefault="00634D7D" w:rsidP="0052634C">
            <w:pPr>
              <w:spacing w:line="276" w:lineRule="auto"/>
              <w:rPr>
                <w:rFonts w:cstheme="minorHAnsi"/>
                <w:iCs/>
              </w:rPr>
            </w:pPr>
            <w:r>
              <w:rPr>
                <w:rFonts w:cstheme="minorHAnsi"/>
                <w:iCs/>
              </w:rPr>
              <w:t>1</w:t>
            </w:r>
          </w:p>
        </w:tc>
        <w:tc>
          <w:tcPr>
            <w:tcW w:w="915" w:type="dxa"/>
          </w:tcPr>
          <w:p w14:paraId="365B026C" w14:textId="56ED7493" w:rsidR="00634D7D" w:rsidRPr="00C53926" w:rsidRDefault="00634D7D" w:rsidP="0052634C">
            <w:pPr>
              <w:spacing w:line="276" w:lineRule="auto"/>
              <w:rPr>
                <w:rFonts w:cstheme="minorHAnsi"/>
                <w:iCs/>
              </w:rPr>
            </w:pPr>
            <w:r>
              <w:rPr>
                <w:rFonts w:cstheme="minorHAnsi"/>
                <w:iCs/>
              </w:rPr>
              <w:t>3</w:t>
            </w:r>
          </w:p>
        </w:tc>
        <w:tc>
          <w:tcPr>
            <w:tcW w:w="1004" w:type="dxa"/>
          </w:tcPr>
          <w:p w14:paraId="5C78B19D" w14:textId="156C2F6F" w:rsidR="00634D7D" w:rsidRPr="00C53926" w:rsidRDefault="00634D7D" w:rsidP="0052634C">
            <w:pPr>
              <w:spacing w:line="276" w:lineRule="auto"/>
              <w:rPr>
                <w:rFonts w:cstheme="minorHAnsi"/>
                <w:iCs/>
              </w:rPr>
            </w:pPr>
            <w:r>
              <w:rPr>
                <w:rFonts w:cstheme="minorHAnsi"/>
                <w:iCs/>
              </w:rPr>
              <w:t>2</w:t>
            </w:r>
          </w:p>
        </w:tc>
        <w:tc>
          <w:tcPr>
            <w:tcW w:w="842" w:type="dxa"/>
          </w:tcPr>
          <w:p w14:paraId="1D42BFB6" w14:textId="1218391E" w:rsidR="00634D7D" w:rsidRPr="00C53926" w:rsidRDefault="00634D7D" w:rsidP="0052634C">
            <w:pPr>
              <w:spacing w:line="276" w:lineRule="auto"/>
              <w:rPr>
                <w:rFonts w:cstheme="minorHAnsi"/>
                <w:iCs/>
              </w:rPr>
            </w:pPr>
            <w:r>
              <w:rPr>
                <w:rFonts w:cstheme="minorHAnsi"/>
                <w:iCs/>
              </w:rPr>
              <w:t>0</w:t>
            </w:r>
          </w:p>
        </w:tc>
      </w:tr>
      <w:tr w:rsidR="00634D7D" w:rsidRPr="00C53926" w14:paraId="25E81404" w14:textId="77777777" w:rsidTr="3A8BAEDD">
        <w:tc>
          <w:tcPr>
            <w:tcW w:w="2331" w:type="dxa"/>
            <w:vMerge/>
          </w:tcPr>
          <w:p w14:paraId="2923E3BA" w14:textId="1BD8F203" w:rsidR="00634D7D" w:rsidRPr="00C53926" w:rsidRDefault="00634D7D" w:rsidP="0052634C">
            <w:pPr>
              <w:spacing w:line="276" w:lineRule="auto"/>
              <w:rPr>
                <w:rFonts w:cstheme="minorHAnsi"/>
                <w:iCs/>
              </w:rPr>
            </w:pPr>
          </w:p>
        </w:tc>
        <w:tc>
          <w:tcPr>
            <w:tcW w:w="1149" w:type="dxa"/>
          </w:tcPr>
          <w:p w14:paraId="543DBCA2" w14:textId="49B9FD61" w:rsidR="00634D7D" w:rsidRPr="00C53926" w:rsidRDefault="00634D7D" w:rsidP="0052634C">
            <w:pPr>
              <w:spacing w:line="276" w:lineRule="auto"/>
              <w:rPr>
                <w:rFonts w:cstheme="minorHAnsi"/>
                <w:iCs/>
              </w:rPr>
            </w:pPr>
            <w:r w:rsidRPr="00C53926">
              <w:rPr>
                <w:rFonts w:cstheme="minorHAnsi"/>
                <w:iCs/>
              </w:rPr>
              <w:t>Secondary</w:t>
            </w:r>
          </w:p>
        </w:tc>
        <w:tc>
          <w:tcPr>
            <w:tcW w:w="784" w:type="dxa"/>
            <w:vAlign w:val="bottom"/>
          </w:tcPr>
          <w:p w14:paraId="60E4313B" w14:textId="0F4FD4CA" w:rsidR="00B93A7B" w:rsidRPr="00B93A7B" w:rsidRDefault="00634D7D" w:rsidP="0052634C">
            <w:pPr>
              <w:spacing w:line="276" w:lineRule="auto"/>
              <w:rPr>
                <w:rFonts w:ascii="Calibri" w:hAnsi="Calibri" w:cs="Calibri"/>
                <w:color w:val="000000"/>
              </w:rPr>
            </w:pPr>
            <w:r>
              <w:rPr>
                <w:rFonts w:ascii="Calibri" w:hAnsi="Calibri" w:cs="Calibri"/>
                <w:color w:val="000000"/>
              </w:rPr>
              <w:t>0</w:t>
            </w:r>
          </w:p>
        </w:tc>
        <w:tc>
          <w:tcPr>
            <w:tcW w:w="1012" w:type="dxa"/>
          </w:tcPr>
          <w:p w14:paraId="2D419C65" w14:textId="40BFE5ED" w:rsidR="00634D7D" w:rsidRPr="00C53926" w:rsidRDefault="00634D7D" w:rsidP="0052634C">
            <w:pPr>
              <w:spacing w:line="276" w:lineRule="auto"/>
              <w:rPr>
                <w:rFonts w:cstheme="minorHAnsi"/>
                <w:iCs/>
              </w:rPr>
            </w:pPr>
            <w:r>
              <w:rPr>
                <w:rFonts w:cstheme="minorHAnsi"/>
                <w:iCs/>
              </w:rPr>
              <w:t>0</w:t>
            </w:r>
          </w:p>
        </w:tc>
        <w:tc>
          <w:tcPr>
            <w:tcW w:w="979" w:type="dxa"/>
          </w:tcPr>
          <w:p w14:paraId="4919A11D" w14:textId="26D369E1" w:rsidR="00634D7D" w:rsidRPr="00C53926" w:rsidRDefault="00634D7D" w:rsidP="0052634C">
            <w:pPr>
              <w:spacing w:line="276" w:lineRule="auto"/>
              <w:rPr>
                <w:rFonts w:cstheme="minorHAnsi"/>
                <w:iCs/>
              </w:rPr>
            </w:pPr>
            <w:r>
              <w:rPr>
                <w:rFonts w:cstheme="minorHAnsi"/>
                <w:iCs/>
              </w:rPr>
              <w:t>0</w:t>
            </w:r>
          </w:p>
        </w:tc>
        <w:tc>
          <w:tcPr>
            <w:tcW w:w="915" w:type="dxa"/>
          </w:tcPr>
          <w:p w14:paraId="7746A7E1" w14:textId="043AD2D2" w:rsidR="00634D7D" w:rsidRPr="00C53926" w:rsidRDefault="00634D7D" w:rsidP="0052634C">
            <w:pPr>
              <w:spacing w:line="276" w:lineRule="auto"/>
              <w:rPr>
                <w:rFonts w:cstheme="minorHAnsi"/>
                <w:iCs/>
              </w:rPr>
            </w:pPr>
            <w:r>
              <w:rPr>
                <w:rFonts w:cstheme="minorHAnsi"/>
                <w:iCs/>
              </w:rPr>
              <w:t>0</w:t>
            </w:r>
          </w:p>
        </w:tc>
        <w:tc>
          <w:tcPr>
            <w:tcW w:w="1004" w:type="dxa"/>
          </w:tcPr>
          <w:p w14:paraId="6CA3547A" w14:textId="22460CED" w:rsidR="00634D7D" w:rsidRPr="00C53926" w:rsidRDefault="00634D7D" w:rsidP="0052634C">
            <w:pPr>
              <w:spacing w:line="276" w:lineRule="auto"/>
              <w:rPr>
                <w:rFonts w:cstheme="minorHAnsi"/>
                <w:iCs/>
              </w:rPr>
            </w:pPr>
            <w:r>
              <w:rPr>
                <w:rFonts w:cstheme="minorHAnsi"/>
                <w:iCs/>
              </w:rPr>
              <w:t>0</w:t>
            </w:r>
          </w:p>
        </w:tc>
        <w:tc>
          <w:tcPr>
            <w:tcW w:w="842" w:type="dxa"/>
          </w:tcPr>
          <w:p w14:paraId="50ECC255" w14:textId="22ABA2C6" w:rsidR="00634D7D" w:rsidRPr="00C53926" w:rsidRDefault="00634D7D" w:rsidP="0052634C">
            <w:pPr>
              <w:spacing w:line="276" w:lineRule="auto"/>
              <w:rPr>
                <w:rFonts w:cstheme="minorHAnsi"/>
                <w:iCs/>
              </w:rPr>
            </w:pPr>
            <w:r>
              <w:rPr>
                <w:rFonts w:cstheme="minorHAnsi"/>
                <w:iCs/>
              </w:rPr>
              <w:t>0</w:t>
            </w:r>
          </w:p>
        </w:tc>
      </w:tr>
      <w:tr w:rsidR="00634D7D" w:rsidRPr="00C53926" w14:paraId="280545F7" w14:textId="77777777" w:rsidTr="3A8BAEDD">
        <w:tc>
          <w:tcPr>
            <w:tcW w:w="2331" w:type="dxa"/>
            <w:vMerge w:val="restart"/>
          </w:tcPr>
          <w:p w14:paraId="30DAE955" w14:textId="64BA1182" w:rsidR="00634D7D" w:rsidRPr="00C53926" w:rsidRDefault="00634D7D" w:rsidP="0052634C">
            <w:pPr>
              <w:spacing w:line="276" w:lineRule="auto"/>
              <w:rPr>
                <w:rFonts w:cstheme="minorHAnsi"/>
                <w:iCs/>
              </w:rPr>
            </w:pPr>
            <w:r w:rsidRPr="00C50BAE">
              <w:rPr>
                <w:rFonts w:cstheme="minorHAnsi"/>
                <w:iCs/>
              </w:rPr>
              <w:t>Economic impact costs</w:t>
            </w:r>
          </w:p>
        </w:tc>
        <w:tc>
          <w:tcPr>
            <w:tcW w:w="1149" w:type="dxa"/>
          </w:tcPr>
          <w:p w14:paraId="59364216" w14:textId="2541FB64" w:rsidR="00634D7D" w:rsidRPr="00C53926" w:rsidRDefault="00634D7D" w:rsidP="0052634C">
            <w:pPr>
              <w:spacing w:line="276" w:lineRule="auto"/>
              <w:rPr>
                <w:rFonts w:cstheme="minorHAnsi"/>
                <w:iCs/>
              </w:rPr>
            </w:pPr>
            <w:r w:rsidRPr="00C53926">
              <w:rPr>
                <w:rFonts w:cstheme="minorHAnsi"/>
                <w:iCs/>
              </w:rPr>
              <w:t>Primary</w:t>
            </w:r>
          </w:p>
        </w:tc>
        <w:tc>
          <w:tcPr>
            <w:tcW w:w="784" w:type="dxa"/>
            <w:vAlign w:val="bottom"/>
          </w:tcPr>
          <w:p w14:paraId="11922887" w14:textId="033084F1" w:rsidR="00634D7D" w:rsidRPr="00C53926" w:rsidRDefault="00634D7D" w:rsidP="0052634C">
            <w:pPr>
              <w:spacing w:line="276" w:lineRule="auto"/>
              <w:rPr>
                <w:rFonts w:cstheme="minorHAnsi"/>
                <w:iCs/>
              </w:rPr>
            </w:pPr>
            <w:r>
              <w:rPr>
                <w:rFonts w:ascii="Calibri" w:hAnsi="Calibri" w:cs="Calibri"/>
                <w:color w:val="000000"/>
              </w:rPr>
              <w:t>4</w:t>
            </w:r>
          </w:p>
        </w:tc>
        <w:tc>
          <w:tcPr>
            <w:tcW w:w="1012" w:type="dxa"/>
          </w:tcPr>
          <w:p w14:paraId="2F29710D" w14:textId="2D78A68F" w:rsidR="00634D7D" w:rsidRPr="00C53926" w:rsidRDefault="00634D7D" w:rsidP="0052634C">
            <w:pPr>
              <w:spacing w:line="276" w:lineRule="auto"/>
              <w:rPr>
                <w:rFonts w:cstheme="minorHAnsi"/>
                <w:iCs/>
              </w:rPr>
            </w:pPr>
            <w:r>
              <w:rPr>
                <w:rFonts w:cstheme="minorHAnsi"/>
                <w:iCs/>
              </w:rPr>
              <w:t>3</w:t>
            </w:r>
          </w:p>
        </w:tc>
        <w:tc>
          <w:tcPr>
            <w:tcW w:w="979" w:type="dxa"/>
          </w:tcPr>
          <w:p w14:paraId="63E2C76D" w14:textId="563B91FE" w:rsidR="00634D7D" w:rsidRPr="00C53926" w:rsidRDefault="00634D7D" w:rsidP="0052634C">
            <w:pPr>
              <w:spacing w:line="276" w:lineRule="auto"/>
              <w:rPr>
                <w:rFonts w:cstheme="minorHAnsi"/>
                <w:iCs/>
              </w:rPr>
            </w:pPr>
            <w:r>
              <w:rPr>
                <w:rFonts w:cstheme="minorHAnsi"/>
                <w:iCs/>
              </w:rPr>
              <w:t>0</w:t>
            </w:r>
          </w:p>
        </w:tc>
        <w:tc>
          <w:tcPr>
            <w:tcW w:w="915" w:type="dxa"/>
          </w:tcPr>
          <w:p w14:paraId="0E099A49" w14:textId="6E9E0131" w:rsidR="00634D7D" w:rsidRPr="00C53926" w:rsidRDefault="00634D7D" w:rsidP="0052634C">
            <w:pPr>
              <w:spacing w:line="276" w:lineRule="auto"/>
              <w:rPr>
                <w:rFonts w:cstheme="minorHAnsi"/>
                <w:iCs/>
              </w:rPr>
            </w:pPr>
            <w:r>
              <w:rPr>
                <w:rFonts w:cstheme="minorHAnsi"/>
                <w:iCs/>
              </w:rPr>
              <w:t>1</w:t>
            </w:r>
          </w:p>
        </w:tc>
        <w:tc>
          <w:tcPr>
            <w:tcW w:w="1004" w:type="dxa"/>
          </w:tcPr>
          <w:p w14:paraId="21709566" w14:textId="2838ED11" w:rsidR="00634D7D" w:rsidRPr="00C53926" w:rsidRDefault="00634D7D" w:rsidP="0052634C">
            <w:pPr>
              <w:spacing w:line="276" w:lineRule="auto"/>
              <w:rPr>
                <w:rFonts w:cstheme="minorHAnsi"/>
                <w:iCs/>
              </w:rPr>
            </w:pPr>
            <w:r>
              <w:rPr>
                <w:rFonts w:cstheme="minorHAnsi"/>
                <w:iCs/>
              </w:rPr>
              <w:t>0</w:t>
            </w:r>
          </w:p>
        </w:tc>
        <w:tc>
          <w:tcPr>
            <w:tcW w:w="842" w:type="dxa"/>
          </w:tcPr>
          <w:p w14:paraId="77202A57" w14:textId="4653FC5B" w:rsidR="00634D7D" w:rsidRPr="00C53926" w:rsidRDefault="00634D7D" w:rsidP="0052634C">
            <w:pPr>
              <w:spacing w:line="276" w:lineRule="auto"/>
              <w:rPr>
                <w:rFonts w:cstheme="minorHAnsi"/>
                <w:iCs/>
              </w:rPr>
            </w:pPr>
            <w:r>
              <w:rPr>
                <w:rFonts w:cstheme="minorHAnsi"/>
                <w:iCs/>
              </w:rPr>
              <w:t>0</w:t>
            </w:r>
          </w:p>
        </w:tc>
      </w:tr>
      <w:tr w:rsidR="00634D7D" w:rsidRPr="00C53926" w14:paraId="3BEF9108" w14:textId="77777777" w:rsidTr="3A8BAEDD">
        <w:tc>
          <w:tcPr>
            <w:tcW w:w="2331" w:type="dxa"/>
            <w:vMerge/>
          </w:tcPr>
          <w:p w14:paraId="7D9E39D1" w14:textId="77777777" w:rsidR="00634D7D" w:rsidRPr="00C53926" w:rsidRDefault="00634D7D" w:rsidP="0052634C">
            <w:pPr>
              <w:spacing w:line="276" w:lineRule="auto"/>
              <w:rPr>
                <w:rFonts w:cstheme="minorHAnsi"/>
                <w:iCs/>
              </w:rPr>
            </w:pPr>
          </w:p>
        </w:tc>
        <w:tc>
          <w:tcPr>
            <w:tcW w:w="1149" w:type="dxa"/>
          </w:tcPr>
          <w:p w14:paraId="3A1CFAB1" w14:textId="6F55E309" w:rsidR="00634D7D" w:rsidRPr="00C53926" w:rsidRDefault="00634D7D" w:rsidP="0052634C">
            <w:pPr>
              <w:spacing w:line="276" w:lineRule="auto"/>
              <w:rPr>
                <w:rFonts w:cstheme="minorHAnsi"/>
                <w:iCs/>
              </w:rPr>
            </w:pPr>
            <w:r w:rsidRPr="00C53926">
              <w:rPr>
                <w:rFonts w:cstheme="minorHAnsi"/>
                <w:iCs/>
              </w:rPr>
              <w:t>Secondary</w:t>
            </w:r>
          </w:p>
        </w:tc>
        <w:tc>
          <w:tcPr>
            <w:tcW w:w="784" w:type="dxa"/>
            <w:vAlign w:val="bottom"/>
          </w:tcPr>
          <w:p w14:paraId="04CA2435" w14:textId="7768D0A3" w:rsidR="00634D7D" w:rsidRPr="00C53926" w:rsidRDefault="00634D7D" w:rsidP="0052634C">
            <w:pPr>
              <w:spacing w:line="276" w:lineRule="auto"/>
              <w:rPr>
                <w:rFonts w:cstheme="minorHAnsi"/>
                <w:iCs/>
              </w:rPr>
            </w:pPr>
            <w:r>
              <w:rPr>
                <w:rFonts w:ascii="Calibri" w:hAnsi="Calibri" w:cs="Calibri"/>
                <w:color w:val="000000"/>
              </w:rPr>
              <w:t>2</w:t>
            </w:r>
          </w:p>
        </w:tc>
        <w:tc>
          <w:tcPr>
            <w:tcW w:w="1012" w:type="dxa"/>
          </w:tcPr>
          <w:p w14:paraId="59DBB8CE" w14:textId="1CE49E39" w:rsidR="00634D7D" w:rsidRPr="00C53926" w:rsidRDefault="00634D7D" w:rsidP="0052634C">
            <w:pPr>
              <w:spacing w:line="276" w:lineRule="auto"/>
              <w:rPr>
                <w:rFonts w:cstheme="minorHAnsi"/>
                <w:iCs/>
              </w:rPr>
            </w:pPr>
            <w:r>
              <w:rPr>
                <w:rFonts w:cstheme="minorHAnsi"/>
                <w:iCs/>
              </w:rPr>
              <w:t>1</w:t>
            </w:r>
          </w:p>
        </w:tc>
        <w:tc>
          <w:tcPr>
            <w:tcW w:w="979" w:type="dxa"/>
          </w:tcPr>
          <w:p w14:paraId="5D4D8F7A" w14:textId="1791978F" w:rsidR="00634D7D" w:rsidRPr="00C53926" w:rsidRDefault="00634D7D" w:rsidP="0052634C">
            <w:pPr>
              <w:spacing w:line="276" w:lineRule="auto"/>
              <w:rPr>
                <w:rFonts w:cstheme="minorHAnsi"/>
                <w:iCs/>
              </w:rPr>
            </w:pPr>
            <w:r>
              <w:rPr>
                <w:rFonts w:cstheme="minorHAnsi"/>
                <w:iCs/>
              </w:rPr>
              <w:t>0</w:t>
            </w:r>
          </w:p>
        </w:tc>
        <w:tc>
          <w:tcPr>
            <w:tcW w:w="915" w:type="dxa"/>
          </w:tcPr>
          <w:p w14:paraId="03861098" w14:textId="7629ED2E" w:rsidR="00634D7D" w:rsidRPr="00C53926" w:rsidRDefault="00634D7D" w:rsidP="0052634C">
            <w:pPr>
              <w:spacing w:line="276" w:lineRule="auto"/>
              <w:rPr>
                <w:rFonts w:cstheme="minorHAnsi"/>
                <w:iCs/>
              </w:rPr>
            </w:pPr>
            <w:r>
              <w:rPr>
                <w:rFonts w:cstheme="minorHAnsi"/>
                <w:iCs/>
              </w:rPr>
              <w:t>1</w:t>
            </w:r>
          </w:p>
        </w:tc>
        <w:tc>
          <w:tcPr>
            <w:tcW w:w="1004" w:type="dxa"/>
          </w:tcPr>
          <w:p w14:paraId="49373F74" w14:textId="746A94B2" w:rsidR="00634D7D" w:rsidRPr="00C53926" w:rsidRDefault="00634D7D" w:rsidP="0052634C">
            <w:pPr>
              <w:spacing w:line="276" w:lineRule="auto"/>
              <w:rPr>
                <w:rFonts w:cstheme="minorHAnsi"/>
                <w:iCs/>
              </w:rPr>
            </w:pPr>
            <w:r>
              <w:rPr>
                <w:rFonts w:cstheme="minorHAnsi"/>
                <w:iCs/>
              </w:rPr>
              <w:t>0</w:t>
            </w:r>
          </w:p>
        </w:tc>
        <w:tc>
          <w:tcPr>
            <w:tcW w:w="842" w:type="dxa"/>
          </w:tcPr>
          <w:p w14:paraId="678A33BC" w14:textId="2D90544E" w:rsidR="00634D7D" w:rsidRPr="00C53926" w:rsidRDefault="00634D7D" w:rsidP="0052634C">
            <w:pPr>
              <w:spacing w:line="276" w:lineRule="auto"/>
              <w:rPr>
                <w:rFonts w:cstheme="minorHAnsi"/>
                <w:iCs/>
              </w:rPr>
            </w:pPr>
            <w:r>
              <w:rPr>
                <w:rFonts w:cstheme="minorHAnsi"/>
                <w:iCs/>
              </w:rPr>
              <w:t>0</w:t>
            </w:r>
          </w:p>
        </w:tc>
      </w:tr>
      <w:tr w:rsidR="00634D7D" w:rsidRPr="00C53926" w14:paraId="5B08073F" w14:textId="77777777" w:rsidTr="3A8BAEDD">
        <w:tc>
          <w:tcPr>
            <w:tcW w:w="2331" w:type="dxa"/>
            <w:vMerge w:val="restart"/>
          </w:tcPr>
          <w:p w14:paraId="12212AC6" w14:textId="77777777" w:rsidR="00634D7D" w:rsidRPr="00C53926" w:rsidRDefault="00634D7D" w:rsidP="0052634C">
            <w:pPr>
              <w:spacing w:line="276" w:lineRule="auto"/>
              <w:rPr>
                <w:rFonts w:cstheme="minorHAnsi"/>
                <w:color w:val="000000"/>
              </w:rPr>
            </w:pPr>
            <w:r w:rsidRPr="00C53926">
              <w:rPr>
                <w:rFonts w:cstheme="minorHAnsi"/>
                <w:color w:val="000000"/>
              </w:rPr>
              <w:t>Function</w:t>
            </w:r>
          </w:p>
          <w:p w14:paraId="5354AED3" w14:textId="6CC9162F" w:rsidR="00634D7D" w:rsidRPr="00C53926" w:rsidRDefault="00634D7D" w:rsidP="0052634C">
            <w:pPr>
              <w:spacing w:line="276" w:lineRule="auto"/>
              <w:rPr>
                <w:rFonts w:cstheme="minorHAnsi"/>
                <w:iCs/>
              </w:rPr>
            </w:pPr>
          </w:p>
        </w:tc>
        <w:tc>
          <w:tcPr>
            <w:tcW w:w="1149" w:type="dxa"/>
          </w:tcPr>
          <w:p w14:paraId="00E1A723" w14:textId="4CB94926" w:rsidR="00634D7D" w:rsidRPr="00C53926" w:rsidRDefault="00634D7D" w:rsidP="0052634C">
            <w:pPr>
              <w:spacing w:line="276" w:lineRule="auto"/>
              <w:rPr>
                <w:rFonts w:cstheme="minorHAnsi"/>
                <w:iCs/>
              </w:rPr>
            </w:pPr>
            <w:r w:rsidRPr="00C53926">
              <w:rPr>
                <w:rFonts w:cstheme="minorHAnsi"/>
                <w:iCs/>
              </w:rPr>
              <w:t>Primary</w:t>
            </w:r>
          </w:p>
        </w:tc>
        <w:tc>
          <w:tcPr>
            <w:tcW w:w="784" w:type="dxa"/>
            <w:vAlign w:val="bottom"/>
          </w:tcPr>
          <w:p w14:paraId="72C3B887" w14:textId="0B18FB2D" w:rsidR="00634D7D" w:rsidRPr="00C53926" w:rsidRDefault="00634D7D" w:rsidP="0052634C">
            <w:pPr>
              <w:spacing w:line="276" w:lineRule="auto"/>
              <w:rPr>
                <w:rFonts w:cstheme="minorHAnsi"/>
                <w:iCs/>
              </w:rPr>
            </w:pPr>
            <w:r>
              <w:rPr>
                <w:rFonts w:ascii="Calibri" w:hAnsi="Calibri" w:cs="Calibri"/>
                <w:color w:val="000000"/>
              </w:rPr>
              <w:t>21</w:t>
            </w:r>
          </w:p>
        </w:tc>
        <w:tc>
          <w:tcPr>
            <w:tcW w:w="1012" w:type="dxa"/>
          </w:tcPr>
          <w:p w14:paraId="598B181D" w14:textId="089A963E" w:rsidR="00634D7D" w:rsidRPr="00C53926" w:rsidRDefault="00634D7D" w:rsidP="0052634C">
            <w:pPr>
              <w:spacing w:line="276" w:lineRule="auto"/>
              <w:rPr>
                <w:rFonts w:cstheme="minorHAnsi"/>
                <w:iCs/>
              </w:rPr>
            </w:pPr>
            <w:r>
              <w:rPr>
                <w:rFonts w:cstheme="minorHAnsi"/>
                <w:iCs/>
              </w:rPr>
              <w:t>7</w:t>
            </w:r>
          </w:p>
        </w:tc>
        <w:tc>
          <w:tcPr>
            <w:tcW w:w="979" w:type="dxa"/>
          </w:tcPr>
          <w:p w14:paraId="48290127" w14:textId="465C9BAF" w:rsidR="00634D7D" w:rsidRPr="00C53926" w:rsidRDefault="00634D7D" w:rsidP="0052634C">
            <w:pPr>
              <w:spacing w:line="276" w:lineRule="auto"/>
              <w:rPr>
                <w:rFonts w:cstheme="minorHAnsi"/>
                <w:iCs/>
              </w:rPr>
            </w:pPr>
            <w:r>
              <w:rPr>
                <w:rFonts w:cstheme="minorHAnsi"/>
                <w:iCs/>
              </w:rPr>
              <w:t>1</w:t>
            </w:r>
          </w:p>
        </w:tc>
        <w:tc>
          <w:tcPr>
            <w:tcW w:w="915" w:type="dxa"/>
          </w:tcPr>
          <w:p w14:paraId="681E0F3B" w14:textId="3EA0B42E" w:rsidR="00634D7D" w:rsidRPr="00C53926" w:rsidRDefault="00634D7D" w:rsidP="0052634C">
            <w:pPr>
              <w:spacing w:line="276" w:lineRule="auto"/>
              <w:rPr>
                <w:rFonts w:cstheme="minorHAnsi"/>
                <w:iCs/>
              </w:rPr>
            </w:pPr>
            <w:r>
              <w:rPr>
                <w:rFonts w:cstheme="minorHAnsi"/>
                <w:iCs/>
              </w:rPr>
              <w:t>7</w:t>
            </w:r>
          </w:p>
        </w:tc>
        <w:tc>
          <w:tcPr>
            <w:tcW w:w="1004" w:type="dxa"/>
          </w:tcPr>
          <w:p w14:paraId="643B3102" w14:textId="5D68A738" w:rsidR="00634D7D" w:rsidRPr="00C53926" w:rsidRDefault="00634D7D" w:rsidP="0052634C">
            <w:pPr>
              <w:spacing w:line="276" w:lineRule="auto"/>
              <w:rPr>
                <w:rFonts w:cstheme="minorHAnsi"/>
                <w:iCs/>
              </w:rPr>
            </w:pPr>
            <w:r>
              <w:rPr>
                <w:rFonts w:cstheme="minorHAnsi"/>
                <w:iCs/>
              </w:rPr>
              <w:t>2</w:t>
            </w:r>
          </w:p>
        </w:tc>
        <w:tc>
          <w:tcPr>
            <w:tcW w:w="842" w:type="dxa"/>
          </w:tcPr>
          <w:p w14:paraId="4DD40D1E" w14:textId="1F04FB57" w:rsidR="00634D7D" w:rsidRPr="00C53926" w:rsidRDefault="00634D7D" w:rsidP="0052634C">
            <w:pPr>
              <w:spacing w:line="276" w:lineRule="auto"/>
              <w:rPr>
                <w:rFonts w:cstheme="minorHAnsi"/>
                <w:iCs/>
              </w:rPr>
            </w:pPr>
            <w:r>
              <w:rPr>
                <w:rFonts w:cstheme="minorHAnsi"/>
                <w:iCs/>
              </w:rPr>
              <w:t>4</w:t>
            </w:r>
          </w:p>
        </w:tc>
      </w:tr>
      <w:tr w:rsidR="00634D7D" w:rsidRPr="00C53926" w14:paraId="37FCB898" w14:textId="77777777" w:rsidTr="3A8BAEDD">
        <w:tc>
          <w:tcPr>
            <w:tcW w:w="2331" w:type="dxa"/>
            <w:vMerge/>
          </w:tcPr>
          <w:p w14:paraId="5E0AE370" w14:textId="7964F2A5" w:rsidR="00634D7D" w:rsidRPr="00C53926" w:rsidRDefault="00634D7D" w:rsidP="0052634C">
            <w:pPr>
              <w:spacing w:line="276" w:lineRule="auto"/>
              <w:rPr>
                <w:rFonts w:cstheme="minorHAnsi"/>
                <w:iCs/>
              </w:rPr>
            </w:pPr>
          </w:p>
        </w:tc>
        <w:tc>
          <w:tcPr>
            <w:tcW w:w="1149" w:type="dxa"/>
          </w:tcPr>
          <w:p w14:paraId="30D32258" w14:textId="7B382013" w:rsidR="00634D7D" w:rsidRPr="00C53926" w:rsidRDefault="00634D7D" w:rsidP="0052634C">
            <w:pPr>
              <w:spacing w:line="276" w:lineRule="auto"/>
              <w:rPr>
                <w:rFonts w:cstheme="minorHAnsi"/>
                <w:iCs/>
              </w:rPr>
            </w:pPr>
            <w:r w:rsidRPr="00C53926">
              <w:rPr>
                <w:rFonts w:cstheme="minorHAnsi"/>
                <w:iCs/>
              </w:rPr>
              <w:t>Secondary</w:t>
            </w:r>
          </w:p>
        </w:tc>
        <w:tc>
          <w:tcPr>
            <w:tcW w:w="784" w:type="dxa"/>
            <w:vAlign w:val="bottom"/>
          </w:tcPr>
          <w:p w14:paraId="62C41A93" w14:textId="58689E6D" w:rsidR="00634D7D" w:rsidRPr="00C53926" w:rsidRDefault="00634D7D" w:rsidP="0052634C">
            <w:pPr>
              <w:spacing w:line="276" w:lineRule="auto"/>
              <w:rPr>
                <w:rFonts w:cstheme="minorHAnsi"/>
                <w:iCs/>
              </w:rPr>
            </w:pPr>
            <w:r>
              <w:rPr>
                <w:rFonts w:ascii="Calibri" w:hAnsi="Calibri" w:cs="Calibri"/>
                <w:color w:val="000000"/>
              </w:rPr>
              <w:t>13</w:t>
            </w:r>
          </w:p>
        </w:tc>
        <w:tc>
          <w:tcPr>
            <w:tcW w:w="1012" w:type="dxa"/>
          </w:tcPr>
          <w:p w14:paraId="183C5FE8" w14:textId="0996C47B" w:rsidR="00634D7D" w:rsidRPr="00C53926" w:rsidRDefault="00634D7D" w:rsidP="0052634C">
            <w:pPr>
              <w:spacing w:line="276" w:lineRule="auto"/>
              <w:rPr>
                <w:rFonts w:cstheme="minorHAnsi"/>
                <w:iCs/>
              </w:rPr>
            </w:pPr>
            <w:r>
              <w:rPr>
                <w:rFonts w:cstheme="minorHAnsi"/>
                <w:iCs/>
              </w:rPr>
              <w:t>6</w:t>
            </w:r>
          </w:p>
        </w:tc>
        <w:tc>
          <w:tcPr>
            <w:tcW w:w="979" w:type="dxa"/>
          </w:tcPr>
          <w:p w14:paraId="5F380D56" w14:textId="2EB854E2" w:rsidR="00634D7D" w:rsidRPr="00C53926" w:rsidRDefault="00634D7D" w:rsidP="0052634C">
            <w:pPr>
              <w:spacing w:line="276" w:lineRule="auto"/>
              <w:rPr>
                <w:rFonts w:cstheme="minorHAnsi"/>
                <w:iCs/>
              </w:rPr>
            </w:pPr>
            <w:r>
              <w:rPr>
                <w:rFonts w:cstheme="minorHAnsi"/>
                <w:iCs/>
              </w:rPr>
              <w:t>3</w:t>
            </w:r>
          </w:p>
        </w:tc>
        <w:tc>
          <w:tcPr>
            <w:tcW w:w="915" w:type="dxa"/>
          </w:tcPr>
          <w:p w14:paraId="04649614" w14:textId="417CE962" w:rsidR="00634D7D" w:rsidRPr="00C53926" w:rsidRDefault="00634D7D" w:rsidP="0052634C">
            <w:pPr>
              <w:spacing w:line="276" w:lineRule="auto"/>
              <w:rPr>
                <w:rFonts w:cstheme="minorHAnsi"/>
                <w:iCs/>
              </w:rPr>
            </w:pPr>
            <w:r>
              <w:rPr>
                <w:rFonts w:cstheme="minorHAnsi"/>
                <w:iCs/>
              </w:rPr>
              <w:t>2</w:t>
            </w:r>
          </w:p>
        </w:tc>
        <w:tc>
          <w:tcPr>
            <w:tcW w:w="1004" w:type="dxa"/>
          </w:tcPr>
          <w:p w14:paraId="21DE3E15" w14:textId="37D75E23" w:rsidR="00634D7D" w:rsidRPr="00C53926" w:rsidRDefault="00634D7D" w:rsidP="0052634C">
            <w:pPr>
              <w:spacing w:line="276" w:lineRule="auto"/>
              <w:rPr>
                <w:rFonts w:cstheme="minorHAnsi"/>
                <w:iCs/>
              </w:rPr>
            </w:pPr>
            <w:r>
              <w:rPr>
                <w:rFonts w:cstheme="minorHAnsi"/>
                <w:iCs/>
              </w:rPr>
              <w:t>0</w:t>
            </w:r>
          </w:p>
        </w:tc>
        <w:tc>
          <w:tcPr>
            <w:tcW w:w="842" w:type="dxa"/>
          </w:tcPr>
          <w:p w14:paraId="660063AC" w14:textId="14FF0E07" w:rsidR="00634D7D" w:rsidRPr="00C53926" w:rsidRDefault="00634D7D" w:rsidP="0052634C">
            <w:pPr>
              <w:spacing w:line="276" w:lineRule="auto"/>
              <w:rPr>
                <w:rFonts w:cstheme="minorHAnsi"/>
                <w:iCs/>
              </w:rPr>
            </w:pPr>
            <w:r>
              <w:rPr>
                <w:rFonts w:cstheme="minorHAnsi"/>
                <w:iCs/>
              </w:rPr>
              <w:t>2</w:t>
            </w:r>
          </w:p>
        </w:tc>
      </w:tr>
      <w:tr w:rsidR="00634D7D" w:rsidRPr="00C53926" w14:paraId="75F3C8C3" w14:textId="77777777" w:rsidTr="3A8BAEDD">
        <w:tc>
          <w:tcPr>
            <w:tcW w:w="2331" w:type="dxa"/>
            <w:vMerge w:val="restart"/>
          </w:tcPr>
          <w:p w14:paraId="52226EF1" w14:textId="77777777" w:rsidR="00634D7D" w:rsidRPr="00C53926" w:rsidRDefault="00634D7D" w:rsidP="0052634C">
            <w:pPr>
              <w:spacing w:line="276" w:lineRule="auto"/>
              <w:rPr>
                <w:rFonts w:cstheme="minorHAnsi"/>
                <w:color w:val="000000"/>
              </w:rPr>
            </w:pPr>
            <w:r w:rsidRPr="00C53926">
              <w:rPr>
                <w:rFonts w:cstheme="minorHAnsi"/>
                <w:color w:val="000000"/>
              </w:rPr>
              <w:t>Medication use</w:t>
            </w:r>
          </w:p>
          <w:p w14:paraId="75426367" w14:textId="77777777" w:rsidR="00634D7D" w:rsidRPr="00C53926" w:rsidRDefault="00634D7D" w:rsidP="0052634C">
            <w:pPr>
              <w:spacing w:line="276" w:lineRule="auto"/>
              <w:rPr>
                <w:rFonts w:cstheme="minorHAnsi"/>
                <w:iCs/>
              </w:rPr>
            </w:pPr>
          </w:p>
        </w:tc>
        <w:tc>
          <w:tcPr>
            <w:tcW w:w="1149" w:type="dxa"/>
          </w:tcPr>
          <w:p w14:paraId="1ABF2836" w14:textId="7E9CD360" w:rsidR="00634D7D" w:rsidRPr="00C53926" w:rsidRDefault="00634D7D" w:rsidP="0052634C">
            <w:pPr>
              <w:spacing w:line="276" w:lineRule="auto"/>
              <w:rPr>
                <w:rFonts w:cstheme="minorHAnsi"/>
                <w:iCs/>
              </w:rPr>
            </w:pPr>
            <w:r w:rsidRPr="00C53926">
              <w:rPr>
                <w:rFonts w:cstheme="minorHAnsi"/>
                <w:iCs/>
              </w:rPr>
              <w:t>Primary</w:t>
            </w:r>
          </w:p>
        </w:tc>
        <w:tc>
          <w:tcPr>
            <w:tcW w:w="784" w:type="dxa"/>
            <w:vAlign w:val="bottom"/>
          </w:tcPr>
          <w:p w14:paraId="0EEC4B80" w14:textId="40929477" w:rsidR="00634D7D" w:rsidRPr="00C53926" w:rsidRDefault="00634D7D" w:rsidP="0052634C">
            <w:pPr>
              <w:spacing w:line="276" w:lineRule="auto"/>
              <w:rPr>
                <w:rFonts w:cstheme="minorHAnsi"/>
                <w:iCs/>
              </w:rPr>
            </w:pPr>
            <w:r>
              <w:rPr>
                <w:rFonts w:ascii="Calibri" w:hAnsi="Calibri" w:cs="Calibri"/>
                <w:color w:val="000000"/>
              </w:rPr>
              <w:t>9</w:t>
            </w:r>
          </w:p>
        </w:tc>
        <w:tc>
          <w:tcPr>
            <w:tcW w:w="1012" w:type="dxa"/>
          </w:tcPr>
          <w:p w14:paraId="1A192254" w14:textId="2D827748" w:rsidR="00634D7D" w:rsidRPr="00C53926" w:rsidRDefault="00634D7D" w:rsidP="0052634C">
            <w:pPr>
              <w:spacing w:line="276" w:lineRule="auto"/>
              <w:rPr>
                <w:rFonts w:cstheme="minorHAnsi"/>
                <w:iCs/>
              </w:rPr>
            </w:pPr>
            <w:r>
              <w:rPr>
                <w:rFonts w:cstheme="minorHAnsi"/>
                <w:iCs/>
              </w:rPr>
              <w:t>2</w:t>
            </w:r>
          </w:p>
        </w:tc>
        <w:tc>
          <w:tcPr>
            <w:tcW w:w="979" w:type="dxa"/>
          </w:tcPr>
          <w:p w14:paraId="5146A62A" w14:textId="69CD5D51" w:rsidR="00634D7D" w:rsidRPr="00C53926" w:rsidRDefault="00634D7D" w:rsidP="0052634C">
            <w:pPr>
              <w:spacing w:line="276" w:lineRule="auto"/>
              <w:rPr>
                <w:rFonts w:cstheme="minorHAnsi"/>
                <w:iCs/>
              </w:rPr>
            </w:pPr>
            <w:r>
              <w:rPr>
                <w:rFonts w:cstheme="minorHAnsi"/>
                <w:iCs/>
              </w:rPr>
              <w:t>4</w:t>
            </w:r>
          </w:p>
        </w:tc>
        <w:tc>
          <w:tcPr>
            <w:tcW w:w="915" w:type="dxa"/>
          </w:tcPr>
          <w:p w14:paraId="1E617532" w14:textId="362D1A75" w:rsidR="00634D7D" w:rsidRPr="00C53926" w:rsidRDefault="00634D7D" w:rsidP="0052634C">
            <w:pPr>
              <w:spacing w:line="276" w:lineRule="auto"/>
              <w:rPr>
                <w:rFonts w:cstheme="minorHAnsi"/>
                <w:iCs/>
              </w:rPr>
            </w:pPr>
            <w:r>
              <w:rPr>
                <w:rFonts w:cstheme="minorHAnsi"/>
                <w:iCs/>
              </w:rPr>
              <w:t>2</w:t>
            </w:r>
          </w:p>
        </w:tc>
        <w:tc>
          <w:tcPr>
            <w:tcW w:w="1004" w:type="dxa"/>
          </w:tcPr>
          <w:p w14:paraId="1BD9D423" w14:textId="4FA8BCE3" w:rsidR="00634D7D" w:rsidRPr="00C53926" w:rsidRDefault="00634D7D" w:rsidP="0052634C">
            <w:pPr>
              <w:spacing w:line="276" w:lineRule="auto"/>
              <w:rPr>
                <w:rFonts w:cstheme="minorHAnsi"/>
                <w:iCs/>
              </w:rPr>
            </w:pPr>
            <w:r>
              <w:rPr>
                <w:rFonts w:cstheme="minorHAnsi"/>
                <w:iCs/>
              </w:rPr>
              <w:t>1</w:t>
            </w:r>
          </w:p>
        </w:tc>
        <w:tc>
          <w:tcPr>
            <w:tcW w:w="842" w:type="dxa"/>
          </w:tcPr>
          <w:p w14:paraId="0EABF572" w14:textId="1D2AE8A3" w:rsidR="00634D7D" w:rsidRPr="00C53926" w:rsidRDefault="00634D7D" w:rsidP="0052634C">
            <w:pPr>
              <w:spacing w:line="276" w:lineRule="auto"/>
              <w:rPr>
                <w:rFonts w:cstheme="minorHAnsi"/>
                <w:iCs/>
              </w:rPr>
            </w:pPr>
            <w:r>
              <w:rPr>
                <w:rFonts w:cstheme="minorHAnsi"/>
                <w:iCs/>
              </w:rPr>
              <w:t>0</w:t>
            </w:r>
          </w:p>
        </w:tc>
      </w:tr>
      <w:tr w:rsidR="00634D7D" w:rsidRPr="00C53926" w14:paraId="2BE8B635" w14:textId="77777777" w:rsidTr="3A8BAEDD">
        <w:tc>
          <w:tcPr>
            <w:tcW w:w="2331" w:type="dxa"/>
            <w:vMerge/>
          </w:tcPr>
          <w:p w14:paraId="2469E371" w14:textId="30BDA199" w:rsidR="00634D7D" w:rsidRPr="00C53926" w:rsidRDefault="00634D7D" w:rsidP="0052634C">
            <w:pPr>
              <w:spacing w:line="276" w:lineRule="auto"/>
              <w:rPr>
                <w:rFonts w:cstheme="minorHAnsi"/>
                <w:b/>
                <w:bCs/>
                <w:iCs/>
              </w:rPr>
            </w:pPr>
          </w:p>
        </w:tc>
        <w:tc>
          <w:tcPr>
            <w:tcW w:w="1149" w:type="dxa"/>
          </w:tcPr>
          <w:p w14:paraId="3458DF33" w14:textId="616601AF" w:rsidR="00634D7D" w:rsidRPr="00C53926" w:rsidRDefault="00634D7D" w:rsidP="0052634C">
            <w:pPr>
              <w:spacing w:line="276" w:lineRule="auto"/>
              <w:rPr>
                <w:rFonts w:cstheme="minorHAnsi"/>
                <w:bCs/>
              </w:rPr>
            </w:pPr>
            <w:r w:rsidRPr="00C53926">
              <w:rPr>
                <w:rFonts w:cstheme="minorHAnsi"/>
                <w:iCs/>
              </w:rPr>
              <w:t>Secondary</w:t>
            </w:r>
          </w:p>
        </w:tc>
        <w:tc>
          <w:tcPr>
            <w:tcW w:w="784" w:type="dxa"/>
            <w:vAlign w:val="bottom"/>
          </w:tcPr>
          <w:p w14:paraId="0D47309C" w14:textId="52565D0A" w:rsidR="00634D7D" w:rsidRPr="00C53926" w:rsidRDefault="00634D7D" w:rsidP="0052634C">
            <w:pPr>
              <w:spacing w:line="276" w:lineRule="auto"/>
              <w:rPr>
                <w:rFonts w:cstheme="minorHAnsi"/>
                <w:iCs/>
              </w:rPr>
            </w:pPr>
            <w:r>
              <w:rPr>
                <w:rFonts w:ascii="Calibri" w:hAnsi="Calibri" w:cs="Calibri"/>
                <w:color w:val="000000"/>
              </w:rPr>
              <w:t>10</w:t>
            </w:r>
          </w:p>
        </w:tc>
        <w:tc>
          <w:tcPr>
            <w:tcW w:w="1012" w:type="dxa"/>
          </w:tcPr>
          <w:p w14:paraId="7F2079E1" w14:textId="1104FD90" w:rsidR="00634D7D" w:rsidRPr="00C53926" w:rsidRDefault="00634D7D" w:rsidP="0052634C">
            <w:pPr>
              <w:spacing w:line="276" w:lineRule="auto"/>
              <w:rPr>
                <w:rFonts w:cstheme="minorHAnsi"/>
                <w:iCs/>
              </w:rPr>
            </w:pPr>
            <w:r>
              <w:rPr>
                <w:rFonts w:cstheme="minorHAnsi"/>
                <w:iCs/>
              </w:rPr>
              <w:t>5</w:t>
            </w:r>
          </w:p>
        </w:tc>
        <w:tc>
          <w:tcPr>
            <w:tcW w:w="979" w:type="dxa"/>
          </w:tcPr>
          <w:p w14:paraId="1BF0A932" w14:textId="709D2E60" w:rsidR="00634D7D" w:rsidRPr="00C53926" w:rsidRDefault="00634D7D" w:rsidP="0052634C">
            <w:pPr>
              <w:spacing w:line="276" w:lineRule="auto"/>
              <w:rPr>
                <w:rFonts w:cstheme="minorHAnsi"/>
                <w:iCs/>
              </w:rPr>
            </w:pPr>
            <w:r>
              <w:rPr>
                <w:rFonts w:cstheme="minorHAnsi"/>
                <w:iCs/>
              </w:rPr>
              <w:t>0</w:t>
            </w:r>
          </w:p>
        </w:tc>
        <w:tc>
          <w:tcPr>
            <w:tcW w:w="915" w:type="dxa"/>
          </w:tcPr>
          <w:p w14:paraId="7A97B1C3" w14:textId="70122F30" w:rsidR="00634D7D" w:rsidRPr="00C53926" w:rsidRDefault="00634D7D" w:rsidP="0052634C">
            <w:pPr>
              <w:spacing w:line="276" w:lineRule="auto"/>
              <w:rPr>
                <w:rFonts w:cstheme="minorHAnsi"/>
                <w:iCs/>
              </w:rPr>
            </w:pPr>
            <w:r>
              <w:rPr>
                <w:rFonts w:cstheme="minorHAnsi"/>
                <w:iCs/>
              </w:rPr>
              <w:t>2</w:t>
            </w:r>
          </w:p>
        </w:tc>
        <w:tc>
          <w:tcPr>
            <w:tcW w:w="1004" w:type="dxa"/>
          </w:tcPr>
          <w:p w14:paraId="288B7470" w14:textId="5C4326BA" w:rsidR="00634D7D" w:rsidRPr="00C53926" w:rsidRDefault="00634D7D" w:rsidP="0052634C">
            <w:pPr>
              <w:spacing w:line="276" w:lineRule="auto"/>
              <w:rPr>
                <w:rFonts w:cstheme="minorHAnsi"/>
                <w:iCs/>
              </w:rPr>
            </w:pPr>
            <w:r>
              <w:rPr>
                <w:rFonts w:cstheme="minorHAnsi"/>
                <w:iCs/>
              </w:rPr>
              <w:t>3</w:t>
            </w:r>
          </w:p>
        </w:tc>
        <w:tc>
          <w:tcPr>
            <w:tcW w:w="842" w:type="dxa"/>
          </w:tcPr>
          <w:p w14:paraId="08FEA410" w14:textId="17C9E648" w:rsidR="00634D7D" w:rsidRPr="00C53926" w:rsidRDefault="00634D7D" w:rsidP="0052634C">
            <w:pPr>
              <w:spacing w:line="276" w:lineRule="auto"/>
              <w:rPr>
                <w:rFonts w:cstheme="minorHAnsi"/>
                <w:iCs/>
              </w:rPr>
            </w:pPr>
            <w:r>
              <w:rPr>
                <w:rFonts w:cstheme="minorHAnsi"/>
                <w:iCs/>
              </w:rPr>
              <w:t>0</w:t>
            </w:r>
          </w:p>
        </w:tc>
      </w:tr>
      <w:tr w:rsidR="00634D7D" w:rsidRPr="00C53926" w14:paraId="657F01E7" w14:textId="77777777" w:rsidTr="3A8BAEDD">
        <w:tc>
          <w:tcPr>
            <w:tcW w:w="2331" w:type="dxa"/>
            <w:vMerge w:val="restart"/>
          </w:tcPr>
          <w:p w14:paraId="2C81D785" w14:textId="77777777" w:rsidR="00634D7D" w:rsidRPr="00C53926" w:rsidRDefault="5BCB0D50" w:rsidP="0052634C">
            <w:pPr>
              <w:spacing w:line="276" w:lineRule="auto"/>
              <w:rPr>
                <w:color w:val="000000"/>
              </w:rPr>
            </w:pPr>
            <w:r w:rsidRPr="3A8BAEDD">
              <w:rPr>
                <w:color w:val="000000" w:themeColor="text1"/>
              </w:rPr>
              <w:t>Other</w:t>
            </w:r>
          </w:p>
          <w:p w14:paraId="19A2D22B" w14:textId="75ED3595" w:rsidR="00634D7D" w:rsidRPr="00C53926" w:rsidRDefault="00634D7D" w:rsidP="0052634C">
            <w:pPr>
              <w:spacing w:line="276" w:lineRule="auto"/>
              <w:rPr>
                <w:rFonts w:cstheme="minorHAnsi"/>
                <w:iCs/>
              </w:rPr>
            </w:pPr>
          </w:p>
        </w:tc>
        <w:tc>
          <w:tcPr>
            <w:tcW w:w="1149" w:type="dxa"/>
          </w:tcPr>
          <w:p w14:paraId="69DC5C89" w14:textId="0C106D9B" w:rsidR="00634D7D" w:rsidRPr="00C53926" w:rsidRDefault="00634D7D" w:rsidP="0052634C">
            <w:pPr>
              <w:spacing w:line="276" w:lineRule="auto"/>
              <w:rPr>
                <w:rFonts w:cstheme="minorHAnsi"/>
                <w:iCs/>
              </w:rPr>
            </w:pPr>
            <w:r w:rsidRPr="00C53926">
              <w:rPr>
                <w:rFonts w:cstheme="minorHAnsi"/>
                <w:iCs/>
              </w:rPr>
              <w:t>Primary</w:t>
            </w:r>
          </w:p>
        </w:tc>
        <w:tc>
          <w:tcPr>
            <w:tcW w:w="784" w:type="dxa"/>
            <w:vAlign w:val="bottom"/>
          </w:tcPr>
          <w:p w14:paraId="166576F8" w14:textId="563C313B" w:rsidR="00634D7D" w:rsidRPr="00C53926" w:rsidRDefault="00634D7D" w:rsidP="0052634C">
            <w:pPr>
              <w:spacing w:line="276" w:lineRule="auto"/>
              <w:rPr>
                <w:rFonts w:cstheme="minorHAnsi"/>
                <w:iCs/>
              </w:rPr>
            </w:pPr>
            <w:r>
              <w:rPr>
                <w:rFonts w:ascii="Calibri" w:hAnsi="Calibri" w:cs="Calibri"/>
                <w:color w:val="000000"/>
              </w:rPr>
              <w:t>24</w:t>
            </w:r>
          </w:p>
        </w:tc>
        <w:tc>
          <w:tcPr>
            <w:tcW w:w="1012" w:type="dxa"/>
          </w:tcPr>
          <w:p w14:paraId="4D91B62D" w14:textId="0126C5D3" w:rsidR="00634D7D" w:rsidRPr="00C53926" w:rsidRDefault="00634D7D" w:rsidP="0052634C">
            <w:pPr>
              <w:spacing w:line="276" w:lineRule="auto"/>
              <w:rPr>
                <w:rFonts w:cstheme="minorHAnsi"/>
                <w:iCs/>
              </w:rPr>
            </w:pPr>
            <w:r>
              <w:rPr>
                <w:rFonts w:cstheme="minorHAnsi"/>
                <w:iCs/>
              </w:rPr>
              <w:t>6</w:t>
            </w:r>
          </w:p>
        </w:tc>
        <w:tc>
          <w:tcPr>
            <w:tcW w:w="979" w:type="dxa"/>
          </w:tcPr>
          <w:p w14:paraId="6A06AB05" w14:textId="0681D6FA" w:rsidR="00634D7D" w:rsidRPr="00C53926" w:rsidRDefault="00634D7D" w:rsidP="0052634C">
            <w:pPr>
              <w:spacing w:line="276" w:lineRule="auto"/>
              <w:rPr>
                <w:rFonts w:cstheme="minorHAnsi"/>
                <w:iCs/>
              </w:rPr>
            </w:pPr>
            <w:r>
              <w:rPr>
                <w:rFonts w:cstheme="minorHAnsi"/>
                <w:iCs/>
              </w:rPr>
              <w:t>8</w:t>
            </w:r>
          </w:p>
        </w:tc>
        <w:tc>
          <w:tcPr>
            <w:tcW w:w="915" w:type="dxa"/>
          </w:tcPr>
          <w:p w14:paraId="1CDBD462" w14:textId="22FA0005" w:rsidR="00634D7D" w:rsidRPr="00C53926" w:rsidRDefault="00634D7D" w:rsidP="0052634C">
            <w:pPr>
              <w:spacing w:line="276" w:lineRule="auto"/>
              <w:rPr>
                <w:rFonts w:cstheme="minorHAnsi"/>
                <w:iCs/>
              </w:rPr>
            </w:pPr>
            <w:r>
              <w:rPr>
                <w:rFonts w:cstheme="minorHAnsi"/>
                <w:iCs/>
              </w:rPr>
              <w:t>7</w:t>
            </w:r>
          </w:p>
        </w:tc>
        <w:tc>
          <w:tcPr>
            <w:tcW w:w="1004" w:type="dxa"/>
          </w:tcPr>
          <w:p w14:paraId="386F66DA" w14:textId="1763389E" w:rsidR="00634D7D" w:rsidRPr="00C53926" w:rsidRDefault="00634D7D" w:rsidP="0052634C">
            <w:pPr>
              <w:spacing w:line="276" w:lineRule="auto"/>
              <w:rPr>
                <w:rFonts w:cstheme="minorHAnsi"/>
                <w:iCs/>
              </w:rPr>
            </w:pPr>
            <w:r>
              <w:rPr>
                <w:rFonts w:cstheme="minorHAnsi"/>
                <w:iCs/>
              </w:rPr>
              <w:t>3</w:t>
            </w:r>
          </w:p>
        </w:tc>
        <w:tc>
          <w:tcPr>
            <w:tcW w:w="842" w:type="dxa"/>
          </w:tcPr>
          <w:p w14:paraId="24C99C54" w14:textId="4B640A7D" w:rsidR="00634D7D" w:rsidRPr="00C53926" w:rsidRDefault="00634D7D" w:rsidP="0052634C">
            <w:pPr>
              <w:spacing w:line="276" w:lineRule="auto"/>
              <w:rPr>
                <w:rFonts w:cstheme="minorHAnsi"/>
                <w:iCs/>
              </w:rPr>
            </w:pPr>
            <w:r>
              <w:rPr>
                <w:rFonts w:cstheme="minorHAnsi"/>
                <w:iCs/>
              </w:rPr>
              <w:t>0</w:t>
            </w:r>
          </w:p>
        </w:tc>
      </w:tr>
      <w:tr w:rsidR="00634D7D" w:rsidRPr="00C53926" w14:paraId="4B728305" w14:textId="77777777" w:rsidTr="3A8BAEDD">
        <w:tc>
          <w:tcPr>
            <w:tcW w:w="2331" w:type="dxa"/>
            <w:vMerge/>
          </w:tcPr>
          <w:p w14:paraId="5478EE62" w14:textId="282D8E84" w:rsidR="00634D7D" w:rsidRPr="00C53926" w:rsidRDefault="00634D7D" w:rsidP="0052634C">
            <w:pPr>
              <w:spacing w:line="276" w:lineRule="auto"/>
              <w:rPr>
                <w:rFonts w:cstheme="minorHAnsi"/>
                <w:iCs/>
              </w:rPr>
            </w:pPr>
          </w:p>
        </w:tc>
        <w:tc>
          <w:tcPr>
            <w:tcW w:w="1149" w:type="dxa"/>
          </w:tcPr>
          <w:p w14:paraId="670CD86B" w14:textId="6D497D31" w:rsidR="00634D7D" w:rsidRPr="00C53926" w:rsidRDefault="00634D7D" w:rsidP="0052634C">
            <w:pPr>
              <w:spacing w:line="276" w:lineRule="auto"/>
              <w:rPr>
                <w:rFonts w:cstheme="minorHAnsi"/>
                <w:iCs/>
              </w:rPr>
            </w:pPr>
            <w:r w:rsidRPr="00C53926">
              <w:rPr>
                <w:rFonts w:cstheme="minorHAnsi"/>
                <w:iCs/>
              </w:rPr>
              <w:t>Secondary</w:t>
            </w:r>
          </w:p>
        </w:tc>
        <w:tc>
          <w:tcPr>
            <w:tcW w:w="784" w:type="dxa"/>
            <w:vAlign w:val="bottom"/>
          </w:tcPr>
          <w:p w14:paraId="3E5DFBEB" w14:textId="5E399426" w:rsidR="00634D7D" w:rsidRPr="00C53926" w:rsidRDefault="00634D7D" w:rsidP="0052634C">
            <w:pPr>
              <w:spacing w:line="276" w:lineRule="auto"/>
              <w:rPr>
                <w:rFonts w:cstheme="minorHAnsi"/>
                <w:iCs/>
              </w:rPr>
            </w:pPr>
            <w:r>
              <w:rPr>
                <w:rFonts w:ascii="Calibri" w:hAnsi="Calibri" w:cs="Calibri"/>
                <w:color w:val="000000"/>
              </w:rPr>
              <w:t>17</w:t>
            </w:r>
          </w:p>
        </w:tc>
        <w:tc>
          <w:tcPr>
            <w:tcW w:w="1012" w:type="dxa"/>
          </w:tcPr>
          <w:p w14:paraId="369649CD" w14:textId="078038F6" w:rsidR="00634D7D" w:rsidRPr="00C53926" w:rsidRDefault="00634D7D" w:rsidP="0052634C">
            <w:pPr>
              <w:spacing w:line="276" w:lineRule="auto"/>
              <w:rPr>
                <w:rFonts w:cstheme="minorHAnsi"/>
                <w:iCs/>
              </w:rPr>
            </w:pPr>
            <w:r>
              <w:rPr>
                <w:rFonts w:cstheme="minorHAnsi"/>
                <w:iCs/>
              </w:rPr>
              <w:t>5</w:t>
            </w:r>
          </w:p>
        </w:tc>
        <w:tc>
          <w:tcPr>
            <w:tcW w:w="979" w:type="dxa"/>
          </w:tcPr>
          <w:p w14:paraId="3E9A18BC" w14:textId="590915A1" w:rsidR="00634D7D" w:rsidRPr="00C53926" w:rsidRDefault="00634D7D" w:rsidP="0052634C">
            <w:pPr>
              <w:spacing w:line="276" w:lineRule="auto"/>
              <w:rPr>
                <w:rFonts w:cstheme="minorHAnsi"/>
                <w:iCs/>
              </w:rPr>
            </w:pPr>
            <w:r>
              <w:rPr>
                <w:rFonts w:cstheme="minorHAnsi"/>
                <w:iCs/>
              </w:rPr>
              <w:t>6</w:t>
            </w:r>
          </w:p>
        </w:tc>
        <w:tc>
          <w:tcPr>
            <w:tcW w:w="915" w:type="dxa"/>
          </w:tcPr>
          <w:p w14:paraId="38B3C747" w14:textId="04A9356F" w:rsidR="00634D7D" w:rsidRPr="00C53926" w:rsidRDefault="00634D7D" w:rsidP="0052634C">
            <w:pPr>
              <w:spacing w:line="276" w:lineRule="auto"/>
              <w:rPr>
                <w:rFonts w:cstheme="minorHAnsi"/>
                <w:iCs/>
              </w:rPr>
            </w:pPr>
            <w:r>
              <w:rPr>
                <w:rFonts w:cstheme="minorHAnsi"/>
                <w:iCs/>
              </w:rPr>
              <w:t>3</w:t>
            </w:r>
          </w:p>
        </w:tc>
        <w:tc>
          <w:tcPr>
            <w:tcW w:w="1004" w:type="dxa"/>
          </w:tcPr>
          <w:p w14:paraId="63F0C69B" w14:textId="17318863" w:rsidR="00634D7D" w:rsidRPr="00C53926" w:rsidRDefault="00634D7D" w:rsidP="0052634C">
            <w:pPr>
              <w:spacing w:line="276" w:lineRule="auto"/>
              <w:rPr>
                <w:rFonts w:cstheme="minorHAnsi"/>
                <w:iCs/>
              </w:rPr>
            </w:pPr>
            <w:r>
              <w:rPr>
                <w:rFonts w:cstheme="minorHAnsi"/>
                <w:iCs/>
              </w:rPr>
              <w:t>2</w:t>
            </w:r>
          </w:p>
        </w:tc>
        <w:tc>
          <w:tcPr>
            <w:tcW w:w="842" w:type="dxa"/>
          </w:tcPr>
          <w:p w14:paraId="27002404" w14:textId="3794136D" w:rsidR="00634D7D" w:rsidRPr="00C53926" w:rsidRDefault="00634D7D" w:rsidP="0052634C">
            <w:pPr>
              <w:spacing w:line="276" w:lineRule="auto"/>
              <w:rPr>
                <w:rFonts w:cstheme="minorHAnsi"/>
                <w:iCs/>
              </w:rPr>
            </w:pPr>
            <w:r>
              <w:rPr>
                <w:rFonts w:cstheme="minorHAnsi"/>
                <w:iCs/>
              </w:rPr>
              <w:t>1</w:t>
            </w:r>
          </w:p>
        </w:tc>
      </w:tr>
      <w:tr w:rsidR="00634D7D" w:rsidRPr="00C53926" w14:paraId="277F3E8D" w14:textId="77777777" w:rsidTr="3A8BAEDD">
        <w:tc>
          <w:tcPr>
            <w:tcW w:w="2331" w:type="dxa"/>
            <w:vMerge w:val="restart"/>
          </w:tcPr>
          <w:p w14:paraId="1D588648" w14:textId="77777777" w:rsidR="00634D7D" w:rsidRPr="00C53926" w:rsidRDefault="00634D7D" w:rsidP="0052634C">
            <w:pPr>
              <w:spacing w:line="276" w:lineRule="auto"/>
              <w:rPr>
                <w:rFonts w:cstheme="minorHAnsi"/>
                <w:color w:val="000000"/>
              </w:rPr>
            </w:pPr>
            <w:r w:rsidRPr="00C53926">
              <w:rPr>
                <w:rFonts w:cstheme="minorHAnsi"/>
                <w:color w:val="000000"/>
              </w:rPr>
              <w:t>Pain - clinician applied stress/examination</w:t>
            </w:r>
          </w:p>
          <w:p w14:paraId="0319414B" w14:textId="76C11B51" w:rsidR="00634D7D" w:rsidRPr="00C53926" w:rsidRDefault="00634D7D" w:rsidP="0052634C">
            <w:pPr>
              <w:spacing w:line="276" w:lineRule="auto"/>
              <w:rPr>
                <w:rFonts w:cstheme="minorHAnsi"/>
                <w:iCs/>
              </w:rPr>
            </w:pPr>
          </w:p>
        </w:tc>
        <w:tc>
          <w:tcPr>
            <w:tcW w:w="1149" w:type="dxa"/>
          </w:tcPr>
          <w:p w14:paraId="412D116A" w14:textId="67795946" w:rsidR="00634D7D" w:rsidRPr="00C53926" w:rsidRDefault="00634D7D" w:rsidP="0052634C">
            <w:pPr>
              <w:spacing w:line="276" w:lineRule="auto"/>
              <w:rPr>
                <w:rFonts w:cstheme="minorHAnsi"/>
                <w:iCs/>
              </w:rPr>
            </w:pPr>
            <w:r w:rsidRPr="00C53926">
              <w:rPr>
                <w:rFonts w:cstheme="minorHAnsi"/>
                <w:iCs/>
              </w:rPr>
              <w:t>Primary</w:t>
            </w:r>
          </w:p>
        </w:tc>
        <w:tc>
          <w:tcPr>
            <w:tcW w:w="784" w:type="dxa"/>
            <w:vAlign w:val="bottom"/>
          </w:tcPr>
          <w:p w14:paraId="7AEA91FD" w14:textId="61F56F56" w:rsidR="00634D7D" w:rsidRPr="00C53926" w:rsidRDefault="00634D7D" w:rsidP="0052634C">
            <w:pPr>
              <w:spacing w:line="276" w:lineRule="auto"/>
              <w:rPr>
                <w:rFonts w:cstheme="minorHAnsi"/>
                <w:iCs/>
              </w:rPr>
            </w:pPr>
            <w:r>
              <w:rPr>
                <w:rFonts w:ascii="Calibri" w:hAnsi="Calibri" w:cs="Calibri"/>
                <w:color w:val="000000"/>
              </w:rPr>
              <w:t>8</w:t>
            </w:r>
          </w:p>
        </w:tc>
        <w:tc>
          <w:tcPr>
            <w:tcW w:w="1012" w:type="dxa"/>
          </w:tcPr>
          <w:p w14:paraId="13EF9C83" w14:textId="477FD9C3" w:rsidR="00634D7D" w:rsidRPr="00C53926" w:rsidRDefault="00634D7D" w:rsidP="0052634C">
            <w:pPr>
              <w:spacing w:line="276" w:lineRule="auto"/>
              <w:rPr>
                <w:rFonts w:cstheme="minorHAnsi"/>
                <w:iCs/>
              </w:rPr>
            </w:pPr>
            <w:r>
              <w:rPr>
                <w:rFonts w:cstheme="minorHAnsi"/>
                <w:iCs/>
              </w:rPr>
              <w:t>1</w:t>
            </w:r>
          </w:p>
        </w:tc>
        <w:tc>
          <w:tcPr>
            <w:tcW w:w="979" w:type="dxa"/>
          </w:tcPr>
          <w:p w14:paraId="6A5412E5" w14:textId="07E73623" w:rsidR="00634D7D" w:rsidRPr="00C53926" w:rsidRDefault="00634D7D" w:rsidP="0052634C">
            <w:pPr>
              <w:spacing w:line="276" w:lineRule="auto"/>
              <w:rPr>
                <w:rFonts w:cstheme="minorHAnsi"/>
                <w:iCs/>
              </w:rPr>
            </w:pPr>
            <w:r>
              <w:rPr>
                <w:rFonts w:cstheme="minorHAnsi"/>
                <w:iCs/>
              </w:rPr>
              <w:t>1</w:t>
            </w:r>
          </w:p>
        </w:tc>
        <w:tc>
          <w:tcPr>
            <w:tcW w:w="915" w:type="dxa"/>
          </w:tcPr>
          <w:p w14:paraId="3665DC12" w14:textId="6BDF97C8" w:rsidR="00634D7D" w:rsidRPr="00C53926" w:rsidRDefault="00634D7D" w:rsidP="0052634C">
            <w:pPr>
              <w:spacing w:line="276" w:lineRule="auto"/>
              <w:rPr>
                <w:rFonts w:cstheme="minorHAnsi"/>
                <w:iCs/>
              </w:rPr>
            </w:pPr>
            <w:r>
              <w:rPr>
                <w:rFonts w:cstheme="minorHAnsi"/>
                <w:iCs/>
              </w:rPr>
              <w:t>4</w:t>
            </w:r>
          </w:p>
        </w:tc>
        <w:tc>
          <w:tcPr>
            <w:tcW w:w="1004" w:type="dxa"/>
          </w:tcPr>
          <w:p w14:paraId="7CB86232" w14:textId="547FCB4E" w:rsidR="00634D7D" w:rsidRPr="00C53926" w:rsidRDefault="00634D7D" w:rsidP="0052634C">
            <w:pPr>
              <w:spacing w:line="276" w:lineRule="auto"/>
              <w:rPr>
                <w:rFonts w:cstheme="minorHAnsi"/>
                <w:iCs/>
              </w:rPr>
            </w:pPr>
            <w:r>
              <w:rPr>
                <w:rFonts w:cstheme="minorHAnsi"/>
                <w:iCs/>
              </w:rPr>
              <w:t>1</w:t>
            </w:r>
          </w:p>
        </w:tc>
        <w:tc>
          <w:tcPr>
            <w:tcW w:w="842" w:type="dxa"/>
          </w:tcPr>
          <w:p w14:paraId="489C1931" w14:textId="57F349C2" w:rsidR="00634D7D" w:rsidRPr="00C53926" w:rsidRDefault="00634D7D" w:rsidP="0052634C">
            <w:pPr>
              <w:spacing w:line="276" w:lineRule="auto"/>
              <w:rPr>
                <w:rFonts w:cstheme="minorHAnsi"/>
                <w:iCs/>
              </w:rPr>
            </w:pPr>
            <w:r>
              <w:rPr>
                <w:rFonts w:cstheme="minorHAnsi"/>
                <w:iCs/>
              </w:rPr>
              <w:t>1</w:t>
            </w:r>
          </w:p>
        </w:tc>
      </w:tr>
      <w:tr w:rsidR="00634D7D" w:rsidRPr="00C53926" w14:paraId="4C83B667" w14:textId="77777777" w:rsidTr="3A8BAEDD">
        <w:tc>
          <w:tcPr>
            <w:tcW w:w="2331" w:type="dxa"/>
            <w:vMerge/>
          </w:tcPr>
          <w:p w14:paraId="578F6137" w14:textId="6941E98F" w:rsidR="00634D7D" w:rsidRPr="00C53926" w:rsidRDefault="00634D7D" w:rsidP="0052634C">
            <w:pPr>
              <w:spacing w:line="276" w:lineRule="auto"/>
              <w:rPr>
                <w:rFonts w:cstheme="minorHAnsi"/>
                <w:iCs/>
              </w:rPr>
            </w:pPr>
          </w:p>
        </w:tc>
        <w:tc>
          <w:tcPr>
            <w:tcW w:w="1149" w:type="dxa"/>
          </w:tcPr>
          <w:p w14:paraId="5D8AD58B" w14:textId="3562BCD4" w:rsidR="00634D7D" w:rsidRPr="00C53926" w:rsidRDefault="00634D7D" w:rsidP="0052634C">
            <w:pPr>
              <w:spacing w:line="276" w:lineRule="auto"/>
              <w:rPr>
                <w:rFonts w:cstheme="minorHAnsi"/>
                <w:iCs/>
              </w:rPr>
            </w:pPr>
            <w:r w:rsidRPr="00C53926">
              <w:rPr>
                <w:rFonts w:cstheme="minorHAnsi"/>
                <w:iCs/>
              </w:rPr>
              <w:t>Secondary</w:t>
            </w:r>
          </w:p>
        </w:tc>
        <w:tc>
          <w:tcPr>
            <w:tcW w:w="784" w:type="dxa"/>
            <w:vAlign w:val="bottom"/>
          </w:tcPr>
          <w:p w14:paraId="32916B73" w14:textId="1FBD27E9" w:rsidR="00634D7D" w:rsidRPr="00C53926" w:rsidRDefault="00634D7D" w:rsidP="0052634C">
            <w:pPr>
              <w:spacing w:line="276" w:lineRule="auto"/>
              <w:rPr>
                <w:rFonts w:cstheme="minorHAnsi"/>
                <w:iCs/>
              </w:rPr>
            </w:pPr>
            <w:r>
              <w:rPr>
                <w:rFonts w:ascii="Calibri" w:hAnsi="Calibri" w:cs="Calibri"/>
                <w:color w:val="000000"/>
              </w:rPr>
              <w:t>5</w:t>
            </w:r>
          </w:p>
        </w:tc>
        <w:tc>
          <w:tcPr>
            <w:tcW w:w="1012" w:type="dxa"/>
          </w:tcPr>
          <w:p w14:paraId="0FD3E6E8" w14:textId="5D15D8F5" w:rsidR="00634D7D" w:rsidRPr="00C53926" w:rsidRDefault="00634D7D" w:rsidP="0052634C">
            <w:pPr>
              <w:spacing w:line="276" w:lineRule="auto"/>
              <w:rPr>
                <w:rFonts w:cstheme="minorHAnsi"/>
                <w:iCs/>
              </w:rPr>
            </w:pPr>
            <w:r>
              <w:rPr>
                <w:rFonts w:cstheme="minorHAnsi"/>
                <w:iCs/>
              </w:rPr>
              <w:t>0</w:t>
            </w:r>
          </w:p>
        </w:tc>
        <w:tc>
          <w:tcPr>
            <w:tcW w:w="979" w:type="dxa"/>
          </w:tcPr>
          <w:p w14:paraId="4F4E1ABC" w14:textId="4C8FABF6" w:rsidR="00634D7D" w:rsidRPr="00C53926" w:rsidRDefault="00634D7D" w:rsidP="0052634C">
            <w:pPr>
              <w:spacing w:line="276" w:lineRule="auto"/>
              <w:rPr>
                <w:rFonts w:cstheme="minorHAnsi"/>
                <w:iCs/>
              </w:rPr>
            </w:pPr>
            <w:r>
              <w:rPr>
                <w:rFonts w:cstheme="minorHAnsi"/>
                <w:iCs/>
              </w:rPr>
              <w:t>1</w:t>
            </w:r>
          </w:p>
        </w:tc>
        <w:tc>
          <w:tcPr>
            <w:tcW w:w="915" w:type="dxa"/>
          </w:tcPr>
          <w:p w14:paraId="026490F1" w14:textId="6A739380" w:rsidR="00634D7D" w:rsidRPr="00C53926" w:rsidRDefault="00634D7D" w:rsidP="0052634C">
            <w:pPr>
              <w:spacing w:line="276" w:lineRule="auto"/>
              <w:rPr>
                <w:rFonts w:cstheme="minorHAnsi"/>
                <w:iCs/>
              </w:rPr>
            </w:pPr>
            <w:r>
              <w:rPr>
                <w:rFonts w:cstheme="minorHAnsi"/>
                <w:iCs/>
              </w:rPr>
              <w:t>3</w:t>
            </w:r>
          </w:p>
        </w:tc>
        <w:tc>
          <w:tcPr>
            <w:tcW w:w="1004" w:type="dxa"/>
          </w:tcPr>
          <w:p w14:paraId="67191D94" w14:textId="36B21F89" w:rsidR="00634D7D" w:rsidRPr="00C53926" w:rsidRDefault="00634D7D" w:rsidP="0052634C">
            <w:pPr>
              <w:spacing w:line="276" w:lineRule="auto"/>
              <w:rPr>
                <w:rFonts w:cstheme="minorHAnsi"/>
                <w:iCs/>
              </w:rPr>
            </w:pPr>
            <w:r>
              <w:rPr>
                <w:rFonts w:cstheme="minorHAnsi"/>
                <w:iCs/>
              </w:rPr>
              <w:t>1</w:t>
            </w:r>
          </w:p>
        </w:tc>
        <w:tc>
          <w:tcPr>
            <w:tcW w:w="842" w:type="dxa"/>
          </w:tcPr>
          <w:p w14:paraId="4990A12A" w14:textId="46BA0A13" w:rsidR="00634D7D" w:rsidRPr="00C53926" w:rsidRDefault="00634D7D" w:rsidP="0052634C">
            <w:pPr>
              <w:spacing w:line="276" w:lineRule="auto"/>
              <w:rPr>
                <w:rFonts w:cstheme="minorHAnsi"/>
                <w:iCs/>
              </w:rPr>
            </w:pPr>
            <w:r>
              <w:rPr>
                <w:rFonts w:cstheme="minorHAnsi"/>
                <w:iCs/>
              </w:rPr>
              <w:t>0</w:t>
            </w:r>
          </w:p>
        </w:tc>
      </w:tr>
      <w:tr w:rsidR="00634D7D" w:rsidRPr="00C53926" w14:paraId="5039B1C3" w14:textId="77777777" w:rsidTr="3A8BAEDD">
        <w:tc>
          <w:tcPr>
            <w:tcW w:w="2331" w:type="dxa"/>
            <w:vMerge w:val="restart"/>
          </w:tcPr>
          <w:p w14:paraId="56BFC3BE" w14:textId="77777777" w:rsidR="00634D7D" w:rsidRPr="00C53926" w:rsidRDefault="00634D7D" w:rsidP="0052634C">
            <w:pPr>
              <w:spacing w:line="276" w:lineRule="auto"/>
              <w:rPr>
                <w:rFonts w:cstheme="minorHAnsi"/>
                <w:color w:val="000000"/>
              </w:rPr>
            </w:pPr>
            <w:r w:rsidRPr="00C53926">
              <w:rPr>
                <w:rFonts w:cstheme="minorHAnsi"/>
                <w:color w:val="000000"/>
              </w:rPr>
              <w:t>Pain on loading/activity</w:t>
            </w:r>
          </w:p>
          <w:p w14:paraId="73F967B4" w14:textId="20AA0BF6" w:rsidR="00634D7D" w:rsidRPr="00C53926" w:rsidRDefault="00634D7D" w:rsidP="0052634C">
            <w:pPr>
              <w:spacing w:line="276" w:lineRule="auto"/>
              <w:rPr>
                <w:rFonts w:cstheme="minorHAnsi"/>
                <w:iCs/>
              </w:rPr>
            </w:pPr>
          </w:p>
        </w:tc>
        <w:tc>
          <w:tcPr>
            <w:tcW w:w="1149" w:type="dxa"/>
          </w:tcPr>
          <w:p w14:paraId="2F817E08" w14:textId="44DD3E1E" w:rsidR="00634D7D" w:rsidRPr="00C53926" w:rsidRDefault="00634D7D" w:rsidP="0052634C">
            <w:pPr>
              <w:spacing w:line="276" w:lineRule="auto"/>
              <w:rPr>
                <w:rFonts w:cstheme="minorHAnsi"/>
                <w:iCs/>
              </w:rPr>
            </w:pPr>
            <w:r w:rsidRPr="00C53926">
              <w:rPr>
                <w:rFonts w:cstheme="minorHAnsi"/>
                <w:iCs/>
              </w:rPr>
              <w:t>Primary</w:t>
            </w:r>
          </w:p>
        </w:tc>
        <w:tc>
          <w:tcPr>
            <w:tcW w:w="784" w:type="dxa"/>
            <w:vAlign w:val="bottom"/>
          </w:tcPr>
          <w:p w14:paraId="420C5FDF" w14:textId="36B0DE2D" w:rsidR="00634D7D" w:rsidRPr="00C53926" w:rsidRDefault="00634D7D" w:rsidP="0052634C">
            <w:pPr>
              <w:spacing w:line="276" w:lineRule="auto"/>
              <w:rPr>
                <w:rFonts w:cstheme="minorHAnsi"/>
                <w:iCs/>
              </w:rPr>
            </w:pPr>
            <w:r>
              <w:rPr>
                <w:rFonts w:ascii="Calibri" w:hAnsi="Calibri" w:cs="Calibri"/>
                <w:color w:val="000000"/>
              </w:rPr>
              <w:t>108</w:t>
            </w:r>
          </w:p>
        </w:tc>
        <w:tc>
          <w:tcPr>
            <w:tcW w:w="1012" w:type="dxa"/>
          </w:tcPr>
          <w:p w14:paraId="6FC6D509" w14:textId="262A95EB" w:rsidR="00634D7D" w:rsidRPr="00C53926" w:rsidRDefault="00634D7D" w:rsidP="0052634C">
            <w:pPr>
              <w:spacing w:line="276" w:lineRule="auto"/>
              <w:rPr>
                <w:rFonts w:cstheme="minorHAnsi"/>
                <w:iCs/>
              </w:rPr>
            </w:pPr>
            <w:r>
              <w:rPr>
                <w:rFonts w:cstheme="minorHAnsi"/>
                <w:iCs/>
              </w:rPr>
              <w:t>42</w:t>
            </w:r>
          </w:p>
        </w:tc>
        <w:tc>
          <w:tcPr>
            <w:tcW w:w="979" w:type="dxa"/>
          </w:tcPr>
          <w:p w14:paraId="39E7B11B" w14:textId="49D011C9" w:rsidR="00634D7D" w:rsidRPr="00C53926" w:rsidRDefault="00634D7D" w:rsidP="0052634C">
            <w:pPr>
              <w:spacing w:line="276" w:lineRule="auto"/>
              <w:rPr>
                <w:rFonts w:cstheme="minorHAnsi"/>
                <w:iCs/>
              </w:rPr>
            </w:pPr>
            <w:r>
              <w:rPr>
                <w:rFonts w:cstheme="minorHAnsi"/>
                <w:iCs/>
              </w:rPr>
              <w:t>21</w:t>
            </w:r>
          </w:p>
        </w:tc>
        <w:tc>
          <w:tcPr>
            <w:tcW w:w="915" w:type="dxa"/>
          </w:tcPr>
          <w:p w14:paraId="088235F3" w14:textId="1520B933" w:rsidR="00634D7D" w:rsidRPr="00C53926" w:rsidRDefault="00634D7D" w:rsidP="0052634C">
            <w:pPr>
              <w:spacing w:line="276" w:lineRule="auto"/>
              <w:rPr>
                <w:rFonts w:cstheme="minorHAnsi"/>
                <w:iCs/>
              </w:rPr>
            </w:pPr>
            <w:r>
              <w:rPr>
                <w:rFonts w:cstheme="minorHAnsi"/>
                <w:iCs/>
              </w:rPr>
              <w:t>18</w:t>
            </w:r>
          </w:p>
        </w:tc>
        <w:tc>
          <w:tcPr>
            <w:tcW w:w="1004" w:type="dxa"/>
          </w:tcPr>
          <w:p w14:paraId="065C564A" w14:textId="4063D5DA" w:rsidR="00634D7D" w:rsidRPr="00C53926" w:rsidRDefault="00634D7D" w:rsidP="0052634C">
            <w:pPr>
              <w:spacing w:line="276" w:lineRule="auto"/>
              <w:rPr>
                <w:rFonts w:cstheme="minorHAnsi"/>
                <w:iCs/>
              </w:rPr>
            </w:pPr>
            <w:r>
              <w:rPr>
                <w:rFonts w:cstheme="minorHAnsi"/>
                <w:iCs/>
              </w:rPr>
              <w:t>21</w:t>
            </w:r>
          </w:p>
        </w:tc>
        <w:tc>
          <w:tcPr>
            <w:tcW w:w="842" w:type="dxa"/>
          </w:tcPr>
          <w:p w14:paraId="1F671267" w14:textId="2B617AFC" w:rsidR="00634D7D" w:rsidRPr="00C53926" w:rsidRDefault="00634D7D" w:rsidP="0052634C">
            <w:pPr>
              <w:spacing w:line="276" w:lineRule="auto"/>
              <w:rPr>
                <w:rFonts w:cstheme="minorHAnsi"/>
                <w:iCs/>
              </w:rPr>
            </w:pPr>
            <w:r>
              <w:rPr>
                <w:rFonts w:cstheme="minorHAnsi"/>
                <w:iCs/>
              </w:rPr>
              <w:t>6</w:t>
            </w:r>
          </w:p>
        </w:tc>
      </w:tr>
      <w:tr w:rsidR="00634D7D" w:rsidRPr="00C53926" w14:paraId="12651161" w14:textId="77777777" w:rsidTr="3A8BAEDD">
        <w:tc>
          <w:tcPr>
            <w:tcW w:w="2331" w:type="dxa"/>
            <w:vMerge/>
          </w:tcPr>
          <w:p w14:paraId="50657675" w14:textId="36999D42" w:rsidR="00634D7D" w:rsidRPr="00C53926" w:rsidRDefault="00634D7D" w:rsidP="0052634C">
            <w:pPr>
              <w:spacing w:line="276" w:lineRule="auto"/>
              <w:rPr>
                <w:rFonts w:cstheme="minorHAnsi"/>
                <w:iCs/>
              </w:rPr>
            </w:pPr>
          </w:p>
        </w:tc>
        <w:tc>
          <w:tcPr>
            <w:tcW w:w="1149" w:type="dxa"/>
          </w:tcPr>
          <w:p w14:paraId="4B985715" w14:textId="76A4DA77" w:rsidR="00634D7D" w:rsidRPr="00C53926" w:rsidRDefault="00634D7D" w:rsidP="0052634C">
            <w:pPr>
              <w:spacing w:line="276" w:lineRule="auto"/>
              <w:rPr>
                <w:rFonts w:cstheme="minorHAnsi"/>
                <w:iCs/>
              </w:rPr>
            </w:pPr>
            <w:r w:rsidRPr="00C53926">
              <w:rPr>
                <w:rFonts w:cstheme="minorHAnsi"/>
                <w:iCs/>
              </w:rPr>
              <w:t>Secondary</w:t>
            </w:r>
          </w:p>
        </w:tc>
        <w:tc>
          <w:tcPr>
            <w:tcW w:w="784" w:type="dxa"/>
            <w:vAlign w:val="bottom"/>
          </w:tcPr>
          <w:p w14:paraId="5F7E4091" w14:textId="2CEFD590" w:rsidR="00634D7D" w:rsidRPr="00C53926" w:rsidRDefault="00341656" w:rsidP="0052634C">
            <w:pPr>
              <w:spacing w:line="276" w:lineRule="auto"/>
              <w:rPr>
                <w:rFonts w:cstheme="minorHAnsi"/>
                <w:iCs/>
              </w:rPr>
            </w:pPr>
            <w:r>
              <w:rPr>
                <w:rFonts w:ascii="Calibri" w:hAnsi="Calibri" w:cs="Calibri"/>
                <w:color w:val="000000"/>
              </w:rPr>
              <w:t>34</w:t>
            </w:r>
          </w:p>
        </w:tc>
        <w:tc>
          <w:tcPr>
            <w:tcW w:w="1012" w:type="dxa"/>
          </w:tcPr>
          <w:p w14:paraId="097FE142" w14:textId="01485F9E" w:rsidR="00634D7D" w:rsidRPr="00C53926" w:rsidRDefault="00634D7D" w:rsidP="0052634C">
            <w:pPr>
              <w:spacing w:line="276" w:lineRule="auto"/>
              <w:rPr>
                <w:rFonts w:cstheme="minorHAnsi"/>
                <w:iCs/>
              </w:rPr>
            </w:pPr>
            <w:r>
              <w:rPr>
                <w:rFonts w:cstheme="minorHAnsi"/>
                <w:iCs/>
              </w:rPr>
              <w:t>18</w:t>
            </w:r>
          </w:p>
        </w:tc>
        <w:tc>
          <w:tcPr>
            <w:tcW w:w="979" w:type="dxa"/>
          </w:tcPr>
          <w:p w14:paraId="09F147A5" w14:textId="31A19F8C" w:rsidR="00634D7D" w:rsidRPr="00C53926" w:rsidRDefault="00341656" w:rsidP="0052634C">
            <w:pPr>
              <w:spacing w:line="276" w:lineRule="auto"/>
              <w:rPr>
                <w:rFonts w:cstheme="minorHAnsi"/>
                <w:iCs/>
              </w:rPr>
            </w:pPr>
            <w:r>
              <w:rPr>
                <w:rFonts w:cstheme="minorHAnsi"/>
                <w:iCs/>
              </w:rPr>
              <w:t>5</w:t>
            </w:r>
          </w:p>
        </w:tc>
        <w:tc>
          <w:tcPr>
            <w:tcW w:w="915" w:type="dxa"/>
          </w:tcPr>
          <w:p w14:paraId="08562DEE" w14:textId="21C48D27" w:rsidR="00634D7D" w:rsidRPr="00C53926" w:rsidRDefault="00634D7D" w:rsidP="0052634C">
            <w:pPr>
              <w:spacing w:line="276" w:lineRule="auto"/>
              <w:rPr>
                <w:rFonts w:cstheme="minorHAnsi"/>
                <w:iCs/>
              </w:rPr>
            </w:pPr>
            <w:r>
              <w:rPr>
                <w:rFonts w:cstheme="minorHAnsi"/>
                <w:iCs/>
              </w:rPr>
              <w:t>5</w:t>
            </w:r>
          </w:p>
        </w:tc>
        <w:tc>
          <w:tcPr>
            <w:tcW w:w="1004" w:type="dxa"/>
          </w:tcPr>
          <w:p w14:paraId="6D2CC4A5" w14:textId="1744C058" w:rsidR="00634D7D" w:rsidRPr="00C53926" w:rsidRDefault="00634D7D" w:rsidP="0052634C">
            <w:pPr>
              <w:spacing w:line="276" w:lineRule="auto"/>
              <w:rPr>
                <w:rFonts w:cstheme="minorHAnsi"/>
                <w:iCs/>
              </w:rPr>
            </w:pPr>
            <w:r>
              <w:rPr>
                <w:rFonts w:cstheme="minorHAnsi"/>
                <w:iCs/>
              </w:rPr>
              <w:t>6</w:t>
            </w:r>
          </w:p>
        </w:tc>
        <w:tc>
          <w:tcPr>
            <w:tcW w:w="842" w:type="dxa"/>
          </w:tcPr>
          <w:p w14:paraId="6980EF31" w14:textId="2B1BFCA4" w:rsidR="00634D7D" w:rsidRPr="00C53926" w:rsidRDefault="00634D7D" w:rsidP="0052634C">
            <w:pPr>
              <w:spacing w:line="276" w:lineRule="auto"/>
              <w:rPr>
                <w:rFonts w:cstheme="minorHAnsi"/>
                <w:iCs/>
              </w:rPr>
            </w:pPr>
            <w:r>
              <w:rPr>
                <w:rFonts w:cstheme="minorHAnsi"/>
                <w:iCs/>
              </w:rPr>
              <w:t>0</w:t>
            </w:r>
          </w:p>
        </w:tc>
      </w:tr>
      <w:tr w:rsidR="00634D7D" w:rsidRPr="00C53926" w14:paraId="62348911" w14:textId="77777777" w:rsidTr="3A8BAEDD">
        <w:tc>
          <w:tcPr>
            <w:tcW w:w="2331" w:type="dxa"/>
            <w:vMerge w:val="restart"/>
          </w:tcPr>
          <w:p w14:paraId="5004D080" w14:textId="77777777" w:rsidR="00634D7D" w:rsidRPr="00C53926" w:rsidRDefault="00634D7D" w:rsidP="0052634C">
            <w:pPr>
              <w:spacing w:line="276" w:lineRule="auto"/>
              <w:rPr>
                <w:rFonts w:cstheme="minorHAnsi"/>
                <w:color w:val="000000"/>
              </w:rPr>
            </w:pPr>
            <w:r w:rsidRPr="00C53926">
              <w:rPr>
                <w:rFonts w:cstheme="minorHAnsi"/>
                <w:color w:val="000000"/>
              </w:rPr>
              <w:t>Pain over a specified time</w:t>
            </w:r>
          </w:p>
          <w:p w14:paraId="4A588344" w14:textId="77777777" w:rsidR="00634D7D" w:rsidRPr="00C53926" w:rsidRDefault="00634D7D" w:rsidP="0052634C">
            <w:pPr>
              <w:spacing w:line="276" w:lineRule="auto"/>
              <w:rPr>
                <w:rFonts w:cstheme="minorHAnsi"/>
                <w:iCs/>
              </w:rPr>
            </w:pPr>
          </w:p>
        </w:tc>
        <w:tc>
          <w:tcPr>
            <w:tcW w:w="1149" w:type="dxa"/>
          </w:tcPr>
          <w:p w14:paraId="0B9E294B" w14:textId="7670FE12" w:rsidR="00634D7D" w:rsidRPr="00C53926" w:rsidRDefault="00634D7D" w:rsidP="0052634C">
            <w:pPr>
              <w:spacing w:line="276" w:lineRule="auto"/>
              <w:rPr>
                <w:rFonts w:cstheme="minorHAnsi"/>
                <w:iCs/>
              </w:rPr>
            </w:pPr>
            <w:r w:rsidRPr="00C53926">
              <w:rPr>
                <w:rFonts w:cstheme="minorHAnsi"/>
                <w:iCs/>
              </w:rPr>
              <w:t>Primary</w:t>
            </w:r>
          </w:p>
        </w:tc>
        <w:tc>
          <w:tcPr>
            <w:tcW w:w="784" w:type="dxa"/>
            <w:vAlign w:val="bottom"/>
          </w:tcPr>
          <w:p w14:paraId="40B0970D" w14:textId="7F89947D" w:rsidR="00634D7D" w:rsidRPr="00C53926" w:rsidRDefault="00634D7D" w:rsidP="0052634C">
            <w:pPr>
              <w:spacing w:line="276" w:lineRule="auto"/>
              <w:rPr>
                <w:rFonts w:cstheme="minorHAnsi"/>
                <w:iCs/>
              </w:rPr>
            </w:pPr>
            <w:r>
              <w:rPr>
                <w:rFonts w:ascii="Calibri" w:hAnsi="Calibri" w:cs="Calibri"/>
                <w:color w:val="000000"/>
              </w:rPr>
              <w:t>63</w:t>
            </w:r>
          </w:p>
        </w:tc>
        <w:tc>
          <w:tcPr>
            <w:tcW w:w="1012" w:type="dxa"/>
          </w:tcPr>
          <w:p w14:paraId="519FB546" w14:textId="18341C05" w:rsidR="00634D7D" w:rsidRPr="00C53926" w:rsidRDefault="00634D7D" w:rsidP="0052634C">
            <w:pPr>
              <w:spacing w:line="276" w:lineRule="auto"/>
              <w:rPr>
                <w:rFonts w:cstheme="minorHAnsi"/>
                <w:iCs/>
              </w:rPr>
            </w:pPr>
            <w:r>
              <w:rPr>
                <w:rFonts w:cstheme="minorHAnsi"/>
                <w:iCs/>
              </w:rPr>
              <w:t>30</w:t>
            </w:r>
          </w:p>
        </w:tc>
        <w:tc>
          <w:tcPr>
            <w:tcW w:w="979" w:type="dxa"/>
          </w:tcPr>
          <w:p w14:paraId="76FA1951" w14:textId="4E472CE7" w:rsidR="00634D7D" w:rsidRPr="00C53926" w:rsidRDefault="00634D7D" w:rsidP="0052634C">
            <w:pPr>
              <w:spacing w:line="276" w:lineRule="auto"/>
              <w:rPr>
                <w:rFonts w:cstheme="minorHAnsi"/>
                <w:iCs/>
              </w:rPr>
            </w:pPr>
            <w:r>
              <w:rPr>
                <w:rFonts w:cstheme="minorHAnsi"/>
                <w:iCs/>
              </w:rPr>
              <w:t>5</w:t>
            </w:r>
          </w:p>
        </w:tc>
        <w:tc>
          <w:tcPr>
            <w:tcW w:w="915" w:type="dxa"/>
          </w:tcPr>
          <w:p w14:paraId="73AA1EED" w14:textId="67D09C48" w:rsidR="00634D7D" w:rsidRPr="00C53926" w:rsidRDefault="00634D7D" w:rsidP="0052634C">
            <w:pPr>
              <w:spacing w:line="276" w:lineRule="auto"/>
              <w:rPr>
                <w:rFonts w:cstheme="minorHAnsi"/>
                <w:iCs/>
              </w:rPr>
            </w:pPr>
            <w:r>
              <w:rPr>
                <w:rFonts w:cstheme="minorHAnsi"/>
                <w:iCs/>
              </w:rPr>
              <w:t>19</w:t>
            </w:r>
          </w:p>
        </w:tc>
        <w:tc>
          <w:tcPr>
            <w:tcW w:w="1004" w:type="dxa"/>
          </w:tcPr>
          <w:p w14:paraId="60715684" w14:textId="5C882F6D" w:rsidR="00634D7D" w:rsidRPr="00C53926" w:rsidRDefault="00634D7D" w:rsidP="0052634C">
            <w:pPr>
              <w:spacing w:line="276" w:lineRule="auto"/>
              <w:rPr>
                <w:rFonts w:cstheme="minorHAnsi"/>
                <w:iCs/>
              </w:rPr>
            </w:pPr>
            <w:r>
              <w:rPr>
                <w:rFonts w:cstheme="minorHAnsi"/>
                <w:iCs/>
              </w:rPr>
              <w:t>4</w:t>
            </w:r>
          </w:p>
        </w:tc>
        <w:tc>
          <w:tcPr>
            <w:tcW w:w="842" w:type="dxa"/>
          </w:tcPr>
          <w:p w14:paraId="7710FFDC" w14:textId="04C37800" w:rsidR="00634D7D" w:rsidRPr="00C53926" w:rsidRDefault="00634D7D" w:rsidP="0052634C">
            <w:pPr>
              <w:spacing w:line="276" w:lineRule="auto"/>
              <w:rPr>
                <w:rFonts w:cstheme="minorHAnsi"/>
                <w:iCs/>
              </w:rPr>
            </w:pPr>
            <w:r>
              <w:rPr>
                <w:rFonts w:cstheme="minorHAnsi"/>
                <w:iCs/>
              </w:rPr>
              <w:t>5</w:t>
            </w:r>
          </w:p>
        </w:tc>
      </w:tr>
      <w:tr w:rsidR="00634D7D" w:rsidRPr="00C53926" w14:paraId="08CE581F" w14:textId="77777777" w:rsidTr="3A8BAEDD">
        <w:trPr>
          <w:trHeight w:val="37"/>
        </w:trPr>
        <w:tc>
          <w:tcPr>
            <w:tcW w:w="2331" w:type="dxa"/>
            <w:vMerge/>
          </w:tcPr>
          <w:p w14:paraId="147B2B9E" w14:textId="3E32ABFE" w:rsidR="00634D7D" w:rsidRPr="00C53926" w:rsidRDefault="00634D7D" w:rsidP="0052634C">
            <w:pPr>
              <w:spacing w:line="276" w:lineRule="auto"/>
              <w:rPr>
                <w:rFonts w:cstheme="minorHAnsi"/>
                <w:iCs/>
              </w:rPr>
            </w:pPr>
          </w:p>
        </w:tc>
        <w:tc>
          <w:tcPr>
            <w:tcW w:w="1149" w:type="dxa"/>
          </w:tcPr>
          <w:p w14:paraId="6FF450C9" w14:textId="67CFE003" w:rsidR="00634D7D" w:rsidRPr="00C53926" w:rsidRDefault="00634D7D" w:rsidP="0052634C">
            <w:pPr>
              <w:spacing w:line="276" w:lineRule="auto"/>
              <w:rPr>
                <w:rFonts w:cstheme="minorHAnsi"/>
                <w:bCs/>
              </w:rPr>
            </w:pPr>
            <w:r w:rsidRPr="00C53926">
              <w:rPr>
                <w:rFonts w:cstheme="minorHAnsi"/>
                <w:iCs/>
              </w:rPr>
              <w:t>Secondary</w:t>
            </w:r>
          </w:p>
        </w:tc>
        <w:tc>
          <w:tcPr>
            <w:tcW w:w="784" w:type="dxa"/>
            <w:vAlign w:val="bottom"/>
          </w:tcPr>
          <w:p w14:paraId="54450917" w14:textId="38FA4FAF" w:rsidR="00634D7D" w:rsidRPr="00C53926" w:rsidRDefault="00341656" w:rsidP="0052634C">
            <w:pPr>
              <w:spacing w:line="276" w:lineRule="auto"/>
              <w:rPr>
                <w:rFonts w:cstheme="minorHAnsi"/>
                <w:iCs/>
              </w:rPr>
            </w:pPr>
            <w:r>
              <w:rPr>
                <w:rFonts w:ascii="Calibri" w:hAnsi="Calibri" w:cs="Calibri"/>
                <w:color w:val="000000"/>
              </w:rPr>
              <w:t>38</w:t>
            </w:r>
          </w:p>
        </w:tc>
        <w:tc>
          <w:tcPr>
            <w:tcW w:w="1012" w:type="dxa"/>
          </w:tcPr>
          <w:p w14:paraId="777A9623" w14:textId="3DA1A767" w:rsidR="00634D7D" w:rsidRPr="00C53926" w:rsidRDefault="00634D7D" w:rsidP="0052634C">
            <w:pPr>
              <w:spacing w:line="276" w:lineRule="auto"/>
              <w:rPr>
                <w:rFonts w:cstheme="minorHAnsi"/>
                <w:iCs/>
              </w:rPr>
            </w:pPr>
            <w:r>
              <w:rPr>
                <w:rFonts w:cstheme="minorHAnsi"/>
                <w:iCs/>
              </w:rPr>
              <w:t>21</w:t>
            </w:r>
          </w:p>
        </w:tc>
        <w:tc>
          <w:tcPr>
            <w:tcW w:w="979" w:type="dxa"/>
          </w:tcPr>
          <w:p w14:paraId="34DEB44D" w14:textId="20FE598E" w:rsidR="00634D7D" w:rsidRPr="00C53926" w:rsidRDefault="00634D7D" w:rsidP="0052634C">
            <w:pPr>
              <w:spacing w:line="276" w:lineRule="auto"/>
              <w:rPr>
                <w:rFonts w:cstheme="minorHAnsi"/>
                <w:iCs/>
              </w:rPr>
            </w:pPr>
            <w:r>
              <w:rPr>
                <w:rFonts w:cstheme="minorHAnsi"/>
                <w:iCs/>
              </w:rPr>
              <w:t>6</w:t>
            </w:r>
          </w:p>
        </w:tc>
        <w:tc>
          <w:tcPr>
            <w:tcW w:w="915" w:type="dxa"/>
          </w:tcPr>
          <w:p w14:paraId="5EB7C3EA" w14:textId="414A9960" w:rsidR="00634D7D" w:rsidRPr="00C53926" w:rsidRDefault="00341656" w:rsidP="0052634C">
            <w:pPr>
              <w:spacing w:line="276" w:lineRule="auto"/>
              <w:rPr>
                <w:rFonts w:cstheme="minorHAnsi"/>
                <w:iCs/>
              </w:rPr>
            </w:pPr>
            <w:r>
              <w:rPr>
                <w:rFonts w:cstheme="minorHAnsi"/>
                <w:iCs/>
              </w:rPr>
              <w:t>8</w:t>
            </w:r>
          </w:p>
        </w:tc>
        <w:tc>
          <w:tcPr>
            <w:tcW w:w="1004" w:type="dxa"/>
          </w:tcPr>
          <w:p w14:paraId="4AE3CEF5" w14:textId="4393A2EC" w:rsidR="00634D7D" w:rsidRPr="00C53926" w:rsidRDefault="00634D7D" w:rsidP="0052634C">
            <w:pPr>
              <w:spacing w:line="276" w:lineRule="auto"/>
              <w:rPr>
                <w:rFonts w:cstheme="minorHAnsi"/>
                <w:iCs/>
              </w:rPr>
            </w:pPr>
            <w:r>
              <w:rPr>
                <w:rFonts w:cstheme="minorHAnsi"/>
                <w:iCs/>
              </w:rPr>
              <w:t>2</w:t>
            </w:r>
          </w:p>
        </w:tc>
        <w:tc>
          <w:tcPr>
            <w:tcW w:w="842" w:type="dxa"/>
          </w:tcPr>
          <w:p w14:paraId="20877CE0" w14:textId="3B5B6CC0" w:rsidR="00634D7D" w:rsidRPr="00C53926" w:rsidRDefault="00634D7D" w:rsidP="0052634C">
            <w:pPr>
              <w:spacing w:line="276" w:lineRule="auto"/>
              <w:rPr>
                <w:rFonts w:cstheme="minorHAnsi"/>
                <w:iCs/>
              </w:rPr>
            </w:pPr>
            <w:r>
              <w:rPr>
                <w:rFonts w:cstheme="minorHAnsi"/>
                <w:iCs/>
              </w:rPr>
              <w:t>1</w:t>
            </w:r>
          </w:p>
        </w:tc>
      </w:tr>
      <w:tr w:rsidR="00634D7D" w:rsidRPr="00C53926" w14:paraId="606DFD18" w14:textId="77777777" w:rsidTr="3A8BAEDD">
        <w:tc>
          <w:tcPr>
            <w:tcW w:w="2331" w:type="dxa"/>
            <w:vMerge w:val="restart"/>
          </w:tcPr>
          <w:p w14:paraId="182111C3" w14:textId="77777777" w:rsidR="00634D7D" w:rsidRPr="00C53926" w:rsidRDefault="00634D7D" w:rsidP="0052634C">
            <w:pPr>
              <w:spacing w:line="276" w:lineRule="auto"/>
              <w:rPr>
                <w:rFonts w:cstheme="minorHAnsi"/>
                <w:color w:val="000000"/>
              </w:rPr>
            </w:pPr>
            <w:r w:rsidRPr="00C53926">
              <w:rPr>
                <w:rFonts w:cstheme="minorHAnsi"/>
                <w:color w:val="000000"/>
              </w:rPr>
              <w:t>Pain without further specification</w:t>
            </w:r>
          </w:p>
          <w:p w14:paraId="6F176052" w14:textId="38FCFFE6" w:rsidR="00634D7D" w:rsidRPr="00C53926" w:rsidRDefault="00634D7D" w:rsidP="0052634C">
            <w:pPr>
              <w:spacing w:line="276" w:lineRule="auto"/>
              <w:rPr>
                <w:rFonts w:cstheme="minorHAnsi"/>
                <w:iCs/>
              </w:rPr>
            </w:pPr>
          </w:p>
        </w:tc>
        <w:tc>
          <w:tcPr>
            <w:tcW w:w="1149" w:type="dxa"/>
          </w:tcPr>
          <w:p w14:paraId="3489EC2F" w14:textId="5CDC2DAF" w:rsidR="00634D7D" w:rsidRPr="00C53926" w:rsidRDefault="00634D7D" w:rsidP="0052634C">
            <w:pPr>
              <w:spacing w:line="276" w:lineRule="auto"/>
              <w:rPr>
                <w:rFonts w:cstheme="minorHAnsi"/>
                <w:iCs/>
              </w:rPr>
            </w:pPr>
            <w:r w:rsidRPr="00C53926">
              <w:rPr>
                <w:rFonts w:cstheme="minorHAnsi"/>
                <w:iCs/>
              </w:rPr>
              <w:t>Primary</w:t>
            </w:r>
          </w:p>
        </w:tc>
        <w:tc>
          <w:tcPr>
            <w:tcW w:w="784" w:type="dxa"/>
            <w:vAlign w:val="bottom"/>
          </w:tcPr>
          <w:p w14:paraId="6ED7196E" w14:textId="498060C5" w:rsidR="00634D7D" w:rsidRPr="00C53926" w:rsidRDefault="00634D7D" w:rsidP="0052634C">
            <w:pPr>
              <w:spacing w:line="276" w:lineRule="auto"/>
              <w:rPr>
                <w:rFonts w:cstheme="minorHAnsi"/>
                <w:iCs/>
              </w:rPr>
            </w:pPr>
            <w:r>
              <w:rPr>
                <w:rFonts w:ascii="Calibri" w:hAnsi="Calibri" w:cs="Calibri"/>
                <w:color w:val="000000"/>
              </w:rPr>
              <w:t>90</w:t>
            </w:r>
          </w:p>
        </w:tc>
        <w:tc>
          <w:tcPr>
            <w:tcW w:w="1012" w:type="dxa"/>
          </w:tcPr>
          <w:p w14:paraId="4CF783AD" w14:textId="69B8D601" w:rsidR="00634D7D" w:rsidRPr="00C53926" w:rsidRDefault="00634D7D" w:rsidP="0052634C">
            <w:pPr>
              <w:spacing w:line="276" w:lineRule="auto"/>
              <w:rPr>
                <w:rFonts w:cstheme="minorHAnsi"/>
                <w:iCs/>
              </w:rPr>
            </w:pPr>
            <w:r>
              <w:rPr>
                <w:rFonts w:cstheme="minorHAnsi"/>
                <w:iCs/>
              </w:rPr>
              <w:t>41</w:t>
            </w:r>
          </w:p>
        </w:tc>
        <w:tc>
          <w:tcPr>
            <w:tcW w:w="979" w:type="dxa"/>
          </w:tcPr>
          <w:p w14:paraId="4E836148" w14:textId="5BA39454" w:rsidR="00634D7D" w:rsidRPr="00C53926" w:rsidRDefault="00634D7D" w:rsidP="0052634C">
            <w:pPr>
              <w:spacing w:line="276" w:lineRule="auto"/>
              <w:rPr>
                <w:rFonts w:cstheme="minorHAnsi"/>
                <w:iCs/>
              </w:rPr>
            </w:pPr>
            <w:r>
              <w:rPr>
                <w:rFonts w:cstheme="minorHAnsi"/>
                <w:iCs/>
              </w:rPr>
              <w:t>13</w:t>
            </w:r>
          </w:p>
        </w:tc>
        <w:tc>
          <w:tcPr>
            <w:tcW w:w="915" w:type="dxa"/>
          </w:tcPr>
          <w:p w14:paraId="2137F467" w14:textId="62AC105F" w:rsidR="00634D7D" w:rsidRPr="00C53926" w:rsidRDefault="00634D7D" w:rsidP="0052634C">
            <w:pPr>
              <w:spacing w:line="276" w:lineRule="auto"/>
              <w:rPr>
                <w:rFonts w:cstheme="minorHAnsi"/>
                <w:iCs/>
              </w:rPr>
            </w:pPr>
            <w:r>
              <w:rPr>
                <w:rFonts w:cstheme="minorHAnsi"/>
                <w:iCs/>
              </w:rPr>
              <w:t>18</w:t>
            </w:r>
          </w:p>
        </w:tc>
        <w:tc>
          <w:tcPr>
            <w:tcW w:w="1004" w:type="dxa"/>
          </w:tcPr>
          <w:p w14:paraId="7AA7E6CF" w14:textId="0CC76F0F" w:rsidR="00634D7D" w:rsidRPr="00C53926" w:rsidRDefault="00634D7D" w:rsidP="0052634C">
            <w:pPr>
              <w:spacing w:line="276" w:lineRule="auto"/>
              <w:rPr>
                <w:rFonts w:cstheme="minorHAnsi"/>
                <w:iCs/>
              </w:rPr>
            </w:pPr>
            <w:r>
              <w:rPr>
                <w:rFonts w:cstheme="minorHAnsi"/>
                <w:iCs/>
              </w:rPr>
              <w:t>10</w:t>
            </w:r>
          </w:p>
        </w:tc>
        <w:tc>
          <w:tcPr>
            <w:tcW w:w="842" w:type="dxa"/>
          </w:tcPr>
          <w:p w14:paraId="164E99C6" w14:textId="59DF40C2" w:rsidR="00634D7D" w:rsidRPr="00C53926" w:rsidRDefault="00634D7D" w:rsidP="0052634C">
            <w:pPr>
              <w:spacing w:line="276" w:lineRule="auto"/>
              <w:rPr>
                <w:rFonts w:cstheme="minorHAnsi"/>
                <w:iCs/>
              </w:rPr>
            </w:pPr>
            <w:r>
              <w:rPr>
                <w:rFonts w:cstheme="minorHAnsi"/>
                <w:iCs/>
              </w:rPr>
              <w:t>8</w:t>
            </w:r>
          </w:p>
        </w:tc>
      </w:tr>
      <w:tr w:rsidR="00634D7D" w:rsidRPr="00C53926" w14:paraId="3C0F9D49" w14:textId="77777777" w:rsidTr="3A8BAEDD">
        <w:tc>
          <w:tcPr>
            <w:tcW w:w="2331" w:type="dxa"/>
            <w:vMerge/>
          </w:tcPr>
          <w:p w14:paraId="76937C73" w14:textId="5CF1DF1D" w:rsidR="00634D7D" w:rsidRPr="00C53926" w:rsidRDefault="00634D7D" w:rsidP="0052634C">
            <w:pPr>
              <w:spacing w:line="276" w:lineRule="auto"/>
              <w:rPr>
                <w:rFonts w:cstheme="minorHAnsi"/>
                <w:iCs/>
              </w:rPr>
            </w:pPr>
          </w:p>
        </w:tc>
        <w:tc>
          <w:tcPr>
            <w:tcW w:w="1149" w:type="dxa"/>
          </w:tcPr>
          <w:p w14:paraId="4A201576" w14:textId="05D16C31" w:rsidR="00634D7D" w:rsidRPr="00C53926" w:rsidRDefault="00634D7D" w:rsidP="0052634C">
            <w:pPr>
              <w:spacing w:line="276" w:lineRule="auto"/>
              <w:rPr>
                <w:rFonts w:cstheme="minorHAnsi"/>
                <w:iCs/>
              </w:rPr>
            </w:pPr>
            <w:r w:rsidRPr="00C53926">
              <w:rPr>
                <w:rFonts w:cstheme="minorHAnsi"/>
                <w:iCs/>
              </w:rPr>
              <w:t>Secondary</w:t>
            </w:r>
          </w:p>
        </w:tc>
        <w:tc>
          <w:tcPr>
            <w:tcW w:w="784" w:type="dxa"/>
            <w:vAlign w:val="bottom"/>
          </w:tcPr>
          <w:p w14:paraId="131A35DA" w14:textId="1A8C53C4" w:rsidR="00634D7D" w:rsidRPr="00C53926" w:rsidRDefault="00341656" w:rsidP="0052634C">
            <w:pPr>
              <w:spacing w:line="276" w:lineRule="auto"/>
              <w:rPr>
                <w:rFonts w:cstheme="minorHAnsi"/>
                <w:iCs/>
              </w:rPr>
            </w:pPr>
            <w:r>
              <w:rPr>
                <w:rFonts w:ascii="Calibri" w:hAnsi="Calibri" w:cs="Calibri"/>
                <w:color w:val="000000"/>
              </w:rPr>
              <w:t>16</w:t>
            </w:r>
          </w:p>
        </w:tc>
        <w:tc>
          <w:tcPr>
            <w:tcW w:w="1012" w:type="dxa"/>
          </w:tcPr>
          <w:p w14:paraId="6F90993A" w14:textId="64BA5BB6" w:rsidR="00634D7D" w:rsidRPr="00C53926" w:rsidRDefault="00341656" w:rsidP="0052634C">
            <w:pPr>
              <w:spacing w:line="276" w:lineRule="auto"/>
              <w:rPr>
                <w:rFonts w:cstheme="minorHAnsi"/>
                <w:iCs/>
              </w:rPr>
            </w:pPr>
            <w:r>
              <w:rPr>
                <w:rFonts w:cstheme="minorHAnsi"/>
                <w:iCs/>
              </w:rPr>
              <w:t>5</w:t>
            </w:r>
          </w:p>
        </w:tc>
        <w:tc>
          <w:tcPr>
            <w:tcW w:w="979" w:type="dxa"/>
          </w:tcPr>
          <w:p w14:paraId="19532648" w14:textId="58BE7141" w:rsidR="00634D7D" w:rsidRPr="00C53926" w:rsidRDefault="00634D7D" w:rsidP="0052634C">
            <w:pPr>
              <w:spacing w:line="276" w:lineRule="auto"/>
              <w:rPr>
                <w:rFonts w:cstheme="minorHAnsi"/>
                <w:iCs/>
              </w:rPr>
            </w:pPr>
            <w:r>
              <w:rPr>
                <w:rFonts w:cstheme="minorHAnsi"/>
                <w:iCs/>
              </w:rPr>
              <w:t>4</w:t>
            </w:r>
          </w:p>
        </w:tc>
        <w:tc>
          <w:tcPr>
            <w:tcW w:w="915" w:type="dxa"/>
          </w:tcPr>
          <w:p w14:paraId="25F05453" w14:textId="04279B09" w:rsidR="00634D7D" w:rsidRPr="00C53926" w:rsidRDefault="00634D7D" w:rsidP="0052634C">
            <w:pPr>
              <w:spacing w:line="276" w:lineRule="auto"/>
              <w:rPr>
                <w:rFonts w:cstheme="minorHAnsi"/>
                <w:iCs/>
              </w:rPr>
            </w:pPr>
            <w:r>
              <w:rPr>
                <w:rFonts w:cstheme="minorHAnsi"/>
                <w:iCs/>
              </w:rPr>
              <w:t>3</w:t>
            </w:r>
          </w:p>
        </w:tc>
        <w:tc>
          <w:tcPr>
            <w:tcW w:w="1004" w:type="dxa"/>
          </w:tcPr>
          <w:p w14:paraId="0FDFC886" w14:textId="11DDFEFF" w:rsidR="00634D7D" w:rsidRPr="00C53926" w:rsidRDefault="00634D7D" w:rsidP="0052634C">
            <w:pPr>
              <w:spacing w:line="276" w:lineRule="auto"/>
              <w:rPr>
                <w:rFonts w:cstheme="minorHAnsi"/>
                <w:iCs/>
              </w:rPr>
            </w:pPr>
            <w:r>
              <w:rPr>
                <w:rFonts w:cstheme="minorHAnsi"/>
                <w:iCs/>
              </w:rPr>
              <w:t>2</w:t>
            </w:r>
          </w:p>
        </w:tc>
        <w:tc>
          <w:tcPr>
            <w:tcW w:w="842" w:type="dxa"/>
          </w:tcPr>
          <w:p w14:paraId="171C8464" w14:textId="3D67D7B1" w:rsidR="00634D7D" w:rsidRPr="00C53926" w:rsidRDefault="00634D7D" w:rsidP="0052634C">
            <w:pPr>
              <w:spacing w:line="276" w:lineRule="auto"/>
              <w:rPr>
                <w:rFonts w:cstheme="minorHAnsi"/>
                <w:iCs/>
              </w:rPr>
            </w:pPr>
            <w:r>
              <w:rPr>
                <w:rFonts w:cstheme="minorHAnsi"/>
                <w:iCs/>
              </w:rPr>
              <w:t>2</w:t>
            </w:r>
          </w:p>
        </w:tc>
      </w:tr>
      <w:tr w:rsidR="00634D7D" w:rsidRPr="00C53926" w14:paraId="4C7646C5" w14:textId="77777777" w:rsidTr="3A8BAEDD">
        <w:tc>
          <w:tcPr>
            <w:tcW w:w="2331" w:type="dxa"/>
            <w:vMerge w:val="restart"/>
          </w:tcPr>
          <w:p w14:paraId="7A630F71" w14:textId="77777777" w:rsidR="00634D7D" w:rsidRPr="00C53926" w:rsidRDefault="00634D7D" w:rsidP="0052634C">
            <w:pPr>
              <w:spacing w:line="276" w:lineRule="auto"/>
              <w:rPr>
                <w:rFonts w:cstheme="minorHAnsi"/>
                <w:color w:val="000000"/>
              </w:rPr>
            </w:pPr>
            <w:r w:rsidRPr="00C53926">
              <w:rPr>
                <w:rFonts w:cstheme="minorHAnsi"/>
                <w:color w:val="000000"/>
              </w:rPr>
              <w:t>Palpation</w:t>
            </w:r>
          </w:p>
          <w:p w14:paraId="75D78CD7" w14:textId="77777777" w:rsidR="00634D7D" w:rsidRPr="00C53926" w:rsidRDefault="00634D7D" w:rsidP="0052634C">
            <w:pPr>
              <w:spacing w:line="276" w:lineRule="auto"/>
              <w:rPr>
                <w:rFonts w:cstheme="minorHAnsi"/>
                <w:iCs/>
              </w:rPr>
            </w:pPr>
          </w:p>
        </w:tc>
        <w:tc>
          <w:tcPr>
            <w:tcW w:w="1149" w:type="dxa"/>
          </w:tcPr>
          <w:p w14:paraId="6942F7D5" w14:textId="77777777" w:rsidR="00634D7D" w:rsidRPr="00C53926" w:rsidRDefault="00634D7D" w:rsidP="0052634C">
            <w:pPr>
              <w:spacing w:line="276" w:lineRule="auto"/>
              <w:rPr>
                <w:rFonts w:cstheme="minorHAnsi"/>
                <w:iCs/>
              </w:rPr>
            </w:pPr>
            <w:r w:rsidRPr="00C53926">
              <w:rPr>
                <w:rFonts w:cstheme="minorHAnsi"/>
                <w:iCs/>
              </w:rPr>
              <w:t>Primary</w:t>
            </w:r>
          </w:p>
        </w:tc>
        <w:tc>
          <w:tcPr>
            <w:tcW w:w="784" w:type="dxa"/>
            <w:vAlign w:val="bottom"/>
          </w:tcPr>
          <w:p w14:paraId="492A9D97" w14:textId="5FA83190" w:rsidR="00634D7D" w:rsidRPr="00C53926" w:rsidRDefault="00634D7D" w:rsidP="0052634C">
            <w:pPr>
              <w:spacing w:line="276" w:lineRule="auto"/>
              <w:rPr>
                <w:rFonts w:cstheme="minorHAnsi"/>
                <w:iCs/>
              </w:rPr>
            </w:pPr>
            <w:r>
              <w:rPr>
                <w:rFonts w:ascii="Calibri" w:hAnsi="Calibri" w:cs="Calibri"/>
                <w:color w:val="000000"/>
              </w:rPr>
              <w:t>9</w:t>
            </w:r>
          </w:p>
        </w:tc>
        <w:tc>
          <w:tcPr>
            <w:tcW w:w="1012" w:type="dxa"/>
          </w:tcPr>
          <w:p w14:paraId="02EC8353" w14:textId="0B20AC0D" w:rsidR="00634D7D" w:rsidRPr="00C53926" w:rsidRDefault="00634D7D" w:rsidP="0052634C">
            <w:pPr>
              <w:spacing w:line="276" w:lineRule="auto"/>
              <w:rPr>
                <w:rFonts w:cstheme="minorHAnsi"/>
                <w:iCs/>
              </w:rPr>
            </w:pPr>
            <w:r>
              <w:rPr>
                <w:rFonts w:cstheme="minorHAnsi"/>
                <w:iCs/>
              </w:rPr>
              <w:t>0</w:t>
            </w:r>
          </w:p>
        </w:tc>
        <w:tc>
          <w:tcPr>
            <w:tcW w:w="979" w:type="dxa"/>
          </w:tcPr>
          <w:p w14:paraId="4676B5FC" w14:textId="6D3FC29E" w:rsidR="00634D7D" w:rsidRPr="00C53926" w:rsidRDefault="00634D7D" w:rsidP="0052634C">
            <w:pPr>
              <w:spacing w:line="276" w:lineRule="auto"/>
              <w:rPr>
                <w:rFonts w:cstheme="minorHAnsi"/>
                <w:iCs/>
              </w:rPr>
            </w:pPr>
            <w:r>
              <w:rPr>
                <w:rFonts w:cstheme="minorHAnsi"/>
                <w:iCs/>
              </w:rPr>
              <w:t>4</w:t>
            </w:r>
          </w:p>
        </w:tc>
        <w:tc>
          <w:tcPr>
            <w:tcW w:w="915" w:type="dxa"/>
          </w:tcPr>
          <w:p w14:paraId="53304C2E" w14:textId="7DFCF2C9" w:rsidR="00634D7D" w:rsidRPr="00C53926" w:rsidRDefault="00634D7D" w:rsidP="0052634C">
            <w:pPr>
              <w:spacing w:line="276" w:lineRule="auto"/>
              <w:rPr>
                <w:rFonts w:cstheme="minorHAnsi"/>
                <w:iCs/>
              </w:rPr>
            </w:pPr>
            <w:r>
              <w:rPr>
                <w:rFonts w:cstheme="minorHAnsi"/>
                <w:iCs/>
              </w:rPr>
              <w:t>2</w:t>
            </w:r>
          </w:p>
        </w:tc>
        <w:tc>
          <w:tcPr>
            <w:tcW w:w="1004" w:type="dxa"/>
          </w:tcPr>
          <w:p w14:paraId="7EE76410" w14:textId="4171BFF9" w:rsidR="00634D7D" w:rsidRPr="00C53926" w:rsidRDefault="00634D7D" w:rsidP="0052634C">
            <w:pPr>
              <w:spacing w:line="276" w:lineRule="auto"/>
              <w:rPr>
                <w:rFonts w:cstheme="minorHAnsi"/>
                <w:iCs/>
              </w:rPr>
            </w:pPr>
            <w:r>
              <w:rPr>
                <w:rFonts w:cstheme="minorHAnsi"/>
                <w:iCs/>
              </w:rPr>
              <w:t>2</w:t>
            </w:r>
          </w:p>
        </w:tc>
        <w:tc>
          <w:tcPr>
            <w:tcW w:w="842" w:type="dxa"/>
          </w:tcPr>
          <w:p w14:paraId="0DF6B479" w14:textId="7577F6CA" w:rsidR="00634D7D" w:rsidRPr="00C53926" w:rsidRDefault="00634D7D" w:rsidP="0052634C">
            <w:pPr>
              <w:spacing w:line="276" w:lineRule="auto"/>
              <w:rPr>
                <w:rFonts w:cstheme="minorHAnsi"/>
                <w:iCs/>
              </w:rPr>
            </w:pPr>
            <w:r>
              <w:rPr>
                <w:rFonts w:cstheme="minorHAnsi"/>
                <w:iCs/>
              </w:rPr>
              <w:t>1</w:t>
            </w:r>
          </w:p>
        </w:tc>
      </w:tr>
      <w:tr w:rsidR="00634D7D" w:rsidRPr="00C53926" w14:paraId="61E034A7" w14:textId="77777777" w:rsidTr="3A8BAEDD">
        <w:tc>
          <w:tcPr>
            <w:tcW w:w="2331" w:type="dxa"/>
            <w:vMerge/>
          </w:tcPr>
          <w:p w14:paraId="7085D1F9" w14:textId="77777777" w:rsidR="00634D7D" w:rsidRPr="00C53926" w:rsidRDefault="00634D7D" w:rsidP="0052634C">
            <w:pPr>
              <w:spacing w:line="276" w:lineRule="auto"/>
              <w:rPr>
                <w:rFonts w:cstheme="minorHAnsi"/>
                <w:iCs/>
              </w:rPr>
            </w:pPr>
          </w:p>
        </w:tc>
        <w:tc>
          <w:tcPr>
            <w:tcW w:w="1149" w:type="dxa"/>
          </w:tcPr>
          <w:p w14:paraId="58D53890" w14:textId="77777777" w:rsidR="00634D7D" w:rsidRPr="00C53926" w:rsidRDefault="00634D7D" w:rsidP="0052634C">
            <w:pPr>
              <w:spacing w:line="276" w:lineRule="auto"/>
              <w:rPr>
                <w:rFonts w:cstheme="minorHAnsi"/>
                <w:iCs/>
              </w:rPr>
            </w:pPr>
            <w:r w:rsidRPr="00C53926">
              <w:rPr>
                <w:rFonts w:cstheme="minorHAnsi"/>
                <w:iCs/>
              </w:rPr>
              <w:t>Secondary</w:t>
            </w:r>
          </w:p>
        </w:tc>
        <w:tc>
          <w:tcPr>
            <w:tcW w:w="784" w:type="dxa"/>
            <w:vAlign w:val="bottom"/>
          </w:tcPr>
          <w:p w14:paraId="06E7D6F0" w14:textId="52825D8B" w:rsidR="00634D7D" w:rsidRPr="00C53926" w:rsidRDefault="00634D7D" w:rsidP="0052634C">
            <w:pPr>
              <w:spacing w:line="276" w:lineRule="auto"/>
              <w:rPr>
                <w:rFonts w:cstheme="minorHAnsi"/>
                <w:iCs/>
              </w:rPr>
            </w:pPr>
            <w:r>
              <w:rPr>
                <w:rFonts w:ascii="Calibri" w:hAnsi="Calibri" w:cs="Calibri"/>
                <w:color w:val="000000"/>
              </w:rPr>
              <w:t>1</w:t>
            </w:r>
          </w:p>
        </w:tc>
        <w:tc>
          <w:tcPr>
            <w:tcW w:w="1012" w:type="dxa"/>
          </w:tcPr>
          <w:p w14:paraId="072D7AE0" w14:textId="2EC75854" w:rsidR="00634D7D" w:rsidRPr="00C53926" w:rsidRDefault="00634D7D" w:rsidP="0052634C">
            <w:pPr>
              <w:spacing w:line="276" w:lineRule="auto"/>
              <w:rPr>
                <w:rFonts w:cstheme="minorHAnsi"/>
                <w:iCs/>
              </w:rPr>
            </w:pPr>
            <w:r>
              <w:rPr>
                <w:rFonts w:cstheme="minorHAnsi"/>
                <w:iCs/>
              </w:rPr>
              <w:t>0</w:t>
            </w:r>
          </w:p>
        </w:tc>
        <w:tc>
          <w:tcPr>
            <w:tcW w:w="979" w:type="dxa"/>
          </w:tcPr>
          <w:p w14:paraId="76CF9400" w14:textId="608C0456" w:rsidR="00634D7D" w:rsidRPr="00C53926" w:rsidRDefault="00634D7D" w:rsidP="0052634C">
            <w:pPr>
              <w:spacing w:line="276" w:lineRule="auto"/>
              <w:rPr>
                <w:rFonts w:cstheme="minorHAnsi"/>
                <w:iCs/>
              </w:rPr>
            </w:pPr>
            <w:r>
              <w:rPr>
                <w:rFonts w:cstheme="minorHAnsi"/>
                <w:iCs/>
              </w:rPr>
              <w:t>1</w:t>
            </w:r>
          </w:p>
        </w:tc>
        <w:tc>
          <w:tcPr>
            <w:tcW w:w="915" w:type="dxa"/>
          </w:tcPr>
          <w:p w14:paraId="146DBFC9" w14:textId="5A871C3F" w:rsidR="00634D7D" w:rsidRPr="00C53926" w:rsidRDefault="00634D7D" w:rsidP="0052634C">
            <w:pPr>
              <w:spacing w:line="276" w:lineRule="auto"/>
              <w:rPr>
                <w:rFonts w:cstheme="minorHAnsi"/>
                <w:iCs/>
              </w:rPr>
            </w:pPr>
            <w:r>
              <w:rPr>
                <w:rFonts w:cstheme="minorHAnsi"/>
                <w:iCs/>
              </w:rPr>
              <w:t>0</w:t>
            </w:r>
          </w:p>
        </w:tc>
        <w:tc>
          <w:tcPr>
            <w:tcW w:w="1004" w:type="dxa"/>
          </w:tcPr>
          <w:p w14:paraId="51633831" w14:textId="153CB62D" w:rsidR="00634D7D" w:rsidRPr="00C53926" w:rsidRDefault="00634D7D" w:rsidP="0052634C">
            <w:pPr>
              <w:spacing w:line="276" w:lineRule="auto"/>
              <w:rPr>
                <w:rFonts w:cstheme="minorHAnsi"/>
                <w:iCs/>
              </w:rPr>
            </w:pPr>
            <w:r>
              <w:rPr>
                <w:rFonts w:cstheme="minorHAnsi"/>
                <w:iCs/>
              </w:rPr>
              <w:t>0</w:t>
            </w:r>
          </w:p>
        </w:tc>
        <w:tc>
          <w:tcPr>
            <w:tcW w:w="842" w:type="dxa"/>
          </w:tcPr>
          <w:p w14:paraId="666F9627" w14:textId="3B73675F" w:rsidR="00634D7D" w:rsidRPr="00C53926" w:rsidRDefault="00634D7D" w:rsidP="0052634C">
            <w:pPr>
              <w:spacing w:line="276" w:lineRule="auto"/>
              <w:rPr>
                <w:rFonts w:cstheme="minorHAnsi"/>
                <w:iCs/>
              </w:rPr>
            </w:pPr>
            <w:r>
              <w:rPr>
                <w:rFonts w:cstheme="minorHAnsi"/>
                <w:iCs/>
              </w:rPr>
              <w:t>0</w:t>
            </w:r>
          </w:p>
        </w:tc>
      </w:tr>
      <w:tr w:rsidR="00634D7D" w:rsidRPr="00C53926" w14:paraId="13CE7182" w14:textId="77777777" w:rsidTr="3A8BAEDD">
        <w:tc>
          <w:tcPr>
            <w:tcW w:w="2331" w:type="dxa"/>
            <w:vMerge w:val="restart"/>
          </w:tcPr>
          <w:p w14:paraId="1791742D" w14:textId="7CE6ABFB" w:rsidR="00634D7D" w:rsidRPr="00C53926" w:rsidRDefault="00634D7D" w:rsidP="0052634C">
            <w:pPr>
              <w:spacing w:line="276" w:lineRule="auto"/>
              <w:rPr>
                <w:rFonts w:cstheme="minorHAnsi"/>
                <w:iCs/>
              </w:rPr>
            </w:pPr>
            <w:r w:rsidRPr="00C53926">
              <w:rPr>
                <w:rFonts w:cstheme="minorHAnsi"/>
                <w:color w:val="000000"/>
              </w:rPr>
              <w:t>Participant/patient rating overall condition</w:t>
            </w:r>
          </w:p>
        </w:tc>
        <w:tc>
          <w:tcPr>
            <w:tcW w:w="1149" w:type="dxa"/>
          </w:tcPr>
          <w:p w14:paraId="4222900E" w14:textId="77777777" w:rsidR="00634D7D" w:rsidRPr="00C53926" w:rsidRDefault="00634D7D" w:rsidP="0052634C">
            <w:pPr>
              <w:spacing w:line="276" w:lineRule="auto"/>
              <w:rPr>
                <w:rFonts w:cstheme="minorHAnsi"/>
                <w:iCs/>
              </w:rPr>
            </w:pPr>
            <w:r w:rsidRPr="00C53926">
              <w:rPr>
                <w:rFonts w:cstheme="minorHAnsi"/>
                <w:iCs/>
              </w:rPr>
              <w:t>Primary</w:t>
            </w:r>
          </w:p>
        </w:tc>
        <w:tc>
          <w:tcPr>
            <w:tcW w:w="784" w:type="dxa"/>
            <w:vAlign w:val="bottom"/>
          </w:tcPr>
          <w:p w14:paraId="42FD3B48" w14:textId="426FCD39" w:rsidR="00634D7D" w:rsidRPr="00C53926" w:rsidRDefault="00341656" w:rsidP="0052634C">
            <w:pPr>
              <w:spacing w:line="276" w:lineRule="auto"/>
              <w:rPr>
                <w:rFonts w:cstheme="minorHAnsi"/>
                <w:iCs/>
              </w:rPr>
            </w:pPr>
            <w:r>
              <w:rPr>
                <w:rFonts w:ascii="Calibri" w:hAnsi="Calibri" w:cs="Calibri"/>
                <w:color w:val="000000"/>
              </w:rPr>
              <w:t>66</w:t>
            </w:r>
          </w:p>
        </w:tc>
        <w:tc>
          <w:tcPr>
            <w:tcW w:w="1012" w:type="dxa"/>
          </w:tcPr>
          <w:p w14:paraId="07D81CF7" w14:textId="2FF1358A" w:rsidR="00634D7D" w:rsidRPr="00C53926" w:rsidRDefault="00634D7D" w:rsidP="0052634C">
            <w:pPr>
              <w:spacing w:line="276" w:lineRule="auto"/>
              <w:rPr>
                <w:rFonts w:cstheme="minorHAnsi"/>
                <w:iCs/>
              </w:rPr>
            </w:pPr>
            <w:r>
              <w:rPr>
                <w:rFonts w:cstheme="minorHAnsi"/>
                <w:iCs/>
              </w:rPr>
              <w:t>15</w:t>
            </w:r>
          </w:p>
        </w:tc>
        <w:tc>
          <w:tcPr>
            <w:tcW w:w="979" w:type="dxa"/>
          </w:tcPr>
          <w:p w14:paraId="08DBE11D" w14:textId="77BBCA96" w:rsidR="00634D7D" w:rsidRPr="00C53926" w:rsidRDefault="00634D7D" w:rsidP="0052634C">
            <w:pPr>
              <w:spacing w:line="276" w:lineRule="auto"/>
              <w:rPr>
                <w:rFonts w:cstheme="minorHAnsi"/>
                <w:iCs/>
              </w:rPr>
            </w:pPr>
            <w:r>
              <w:rPr>
                <w:rFonts w:cstheme="minorHAnsi"/>
                <w:iCs/>
              </w:rPr>
              <w:t>20</w:t>
            </w:r>
          </w:p>
        </w:tc>
        <w:tc>
          <w:tcPr>
            <w:tcW w:w="915" w:type="dxa"/>
          </w:tcPr>
          <w:p w14:paraId="7657BD8B" w14:textId="48B15A82" w:rsidR="00634D7D" w:rsidRPr="00C53926" w:rsidRDefault="00341656" w:rsidP="0052634C">
            <w:pPr>
              <w:spacing w:line="276" w:lineRule="auto"/>
              <w:rPr>
                <w:rFonts w:cstheme="minorHAnsi"/>
                <w:iCs/>
              </w:rPr>
            </w:pPr>
            <w:r>
              <w:rPr>
                <w:rFonts w:cstheme="minorHAnsi"/>
                <w:iCs/>
              </w:rPr>
              <w:t>17</w:t>
            </w:r>
          </w:p>
        </w:tc>
        <w:tc>
          <w:tcPr>
            <w:tcW w:w="1004" w:type="dxa"/>
          </w:tcPr>
          <w:p w14:paraId="1F0F7D8D" w14:textId="12400B88" w:rsidR="00634D7D" w:rsidRPr="00C53926" w:rsidRDefault="00634D7D" w:rsidP="0052634C">
            <w:pPr>
              <w:spacing w:line="276" w:lineRule="auto"/>
              <w:rPr>
                <w:rFonts w:cstheme="minorHAnsi"/>
                <w:iCs/>
              </w:rPr>
            </w:pPr>
            <w:r>
              <w:rPr>
                <w:rFonts w:cstheme="minorHAnsi"/>
                <w:iCs/>
              </w:rPr>
              <w:t>8</w:t>
            </w:r>
          </w:p>
        </w:tc>
        <w:tc>
          <w:tcPr>
            <w:tcW w:w="842" w:type="dxa"/>
          </w:tcPr>
          <w:p w14:paraId="30504E09" w14:textId="0694E90F" w:rsidR="00634D7D" w:rsidRPr="00C53926" w:rsidRDefault="00634D7D" w:rsidP="0052634C">
            <w:pPr>
              <w:spacing w:line="276" w:lineRule="auto"/>
              <w:rPr>
                <w:rFonts w:cstheme="minorHAnsi"/>
                <w:iCs/>
              </w:rPr>
            </w:pPr>
            <w:r>
              <w:rPr>
                <w:rFonts w:cstheme="minorHAnsi"/>
                <w:iCs/>
              </w:rPr>
              <w:t>6</w:t>
            </w:r>
          </w:p>
        </w:tc>
      </w:tr>
      <w:tr w:rsidR="00634D7D" w:rsidRPr="00C53926" w14:paraId="4748CE0D" w14:textId="77777777" w:rsidTr="3A8BAEDD">
        <w:tc>
          <w:tcPr>
            <w:tcW w:w="2331" w:type="dxa"/>
            <w:vMerge/>
          </w:tcPr>
          <w:p w14:paraId="71E55194" w14:textId="77777777" w:rsidR="00634D7D" w:rsidRPr="00C53926" w:rsidRDefault="00634D7D" w:rsidP="0052634C">
            <w:pPr>
              <w:spacing w:line="276" w:lineRule="auto"/>
              <w:rPr>
                <w:rFonts w:cstheme="minorHAnsi"/>
                <w:iCs/>
              </w:rPr>
            </w:pPr>
          </w:p>
        </w:tc>
        <w:tc>
          <w:tcPr>
            <w:tcW w:w="1149" w:type="dxa"/>
          </w:tcPr>
          <w:p w14:paraId="0577944E" w14:textId="77777777" w:rsidR="00634D7D" w:rsidRPr="00C53926" w:rsidRDefault="00634D7D" w:rsidP="0052634C">
            <w:pPr>
              <w:spacing w:line="276" w:lineRule="auto"/>
              <w:rPr>
                <w:rFonts w:cstheme="minorHAnsi"/>
                <w:iCs/>
              </w:rPr>
            </w:pPr>
            <w:r w:rsidRPr="00C53926">
              <w:rPr>
                <w:rFonts w:cstheme="minorHAnsi"/>
                <w:iCs/>
              </w:rPr>
              <w:t>Secondary</w:t>
            </w:r>
          </w:p>
        </w:tc>
        <w:tc>
          <w:tcPr>
            <w:tcW w:w="784" w:type="dxa"/>
            <w:vAlign w:val="bottom"/>
          </w:tcPr>
          <w:p w14:paraId="5781196D" w14:textId="7027C4DE" w:rsidR="00634D7D" w:rsidRPr="00C53926" w:rsidRDefault="00341656" w:rsidP="0052634C">
            <w:pPr>
              <w:spacing w:line="276" w:lineRule="auto"/>
              <w:rPr>
                <w:rFonts w:cstheme="minorHAnsi"/>
                <w:iCs/>
              </w:rPr>
            </w:pPr>
            <w:r>
              <w:rPr>
                <w:rFonts w:ascii="Calibri" w:hAnsi="Calibri" w:cs="Calibri"/>
                <w:color w:val="000000"/>
              </w:rPr>
              <w:t>46</w:t>
            </w:r>
          </w:p>
        </w:tc>
        <w:tc>
          <w:tcPr>
            <w:tcW w:w="1012" w:type="dxa"/>
          </w:tcPr>
          <w:p w14:paraId="0EB94111" w14:textId="7C727BB6" w:rsidR="00634D7D" w:rsidRPr="00C53926" w:rsidRDefault="00634D7D" w:rsidP="0052634C">
            <w:pPr>
              <w:spacing w:line="276" w:lineRule="auto"/>
              <w:rPr>
                <w:rFonts w:cstheme="minorHAnsi"/>
                <w:iCs/>
              </w:rPr>
            </w:pPr>
            <w:r>
              <w:rPr>
                <w:rFonts w:cstheme="minorHAnsi"/>
                <w:iCs/>
              </w:rPr>
              <w:t>13</w:t>
            </w:r>
          </w:p>
        </w:tc>
        <w:tc>
          <w:tcPr>
            <w:tcW w:w="979" w:type="dxa"/>
          </w:tcPr>
          <w:p w14:paraId="7401F42D" w14:textId="329651C3" w:rsidR="00634D7D" w:rsidRPr="00C53926" w:rsidRDefault="00634D7D" w:rsidP="0052634C">
            <w:pPr>
              <w:spacing w:line="276" w:lineRule="auto"/>
              <w:rPr>
                <w:rFonts w:cstheme="minorHAnsi"/>
                <w:iCs/>
              </w:rPr>
            </w:pPr>
            <w:r>
              <w:rPr>
                <w:rFonts w:cstheme="minorHAnsi"/>
                <w:iCs/>
              </w:rPr>
              <w:t>1</w:t>
            </w:r>
            <w:r w:rsidR="00341656">
              <w:rPr>
                <w:rFonts w:cstheme="minorHAnsi"/>
                <w:iCs/>
              </w:rPr>
              <w:t>5</w:t>
            </w:r>
          </w:p>
        </w:tc>
        <w:tc>
          <w:tcPr>
            <w:tcW w:w="915" w:type="dxa"/>
          </w:tcPr>
          <w:p w14:paraId="0A015BBC" w14:textId="6BDADC08" w:rsidR="00634D7D" w:rsidRPr="00C53926" w:rsidRDefault="00634D7D" w:rsidP="0052634C">
            <w:pPr>
              <w:spacing w:line="276" w:lineRule="auto"/>
              <w:rPr>
                <w:rFonts w:cstheme="minorHAnsi"/>
                <w:iCs/>
              </w:rPr>
            </w:pPr>
            <w:r>
              <w:rPr>
                <w:rFonts w:cstheme="minorHAnsi"/>
                <w:iCs/>
              </w:rPr>
              <w:t>6</w:t>
            </w:r>
          </w:p>
        </w:tc>
        <w:tc>
          <w:tcPr>
            <w:tcW w:w="1004" w:type="dxa"/>
          </w:tcPr>
          <w:p w14:paraId="7128F8A9" w14:textId="527F7BCF" w:rsidR="00634D7D" w:rsidRPr="00C53926" w:rsidRDefault="00634D7D" w:rsidP="0052634C">
            <w:pPr>
              <w:spacing w:line="276" w:lineRule="auto"/>
              <w:rPr>
                <w:rFonts w:cstheme="minorHAnsi"/>
                <w:iCs/>
              </w:rPr>
            </w:pPr>
            <w:r>
              <w:rPr>
                <w:rFonts w:cstheme="minorHAnsi"/>
                <w:iCs/>
              </w:rPr>
              <w:t>8</w:t>
            </w:r>
          </w:p>
        </w:tc>
        <w:tc>
          <w:tcPr>
            <w:tcW w:w="842" w:type="dxa"/>
          </w:tcPr>
          <w:p w14:paraId="4BD86288" w14:textId="16ED1F21" w:rsidR="00634D7D" w:rsidRPr="00C53926" w:rsidRDefault="00634D7D" w:rsidP="0052634C">
            <w:pPr>
              <w:spacing w:line="276" w:lineRule="auto"/>
              <w:rPr>
                <w:rFonts w:cstheme="minorHAnsi"/>
                <w:iCs/>
              </w:rPr>
            </w:pPr>
            <w:r>
              <w:rPr>
                <w:rFonts w:cstheme="minorHAnsi"/>
                <w:iCs/>
              </w:rPr>
              <w:t>4</w:t>
            </w:r>
          </w:p>
        </w:tc>
      </w:tr>
      <w:tr w:rsidR="00634D7D" w:rsidRPr="00C53926" w14:paraId="4AC341DE" w14:textId="77777777" w:rsidTr="3A8BAEDD">
        <w:tc>
          <w:tcPr>
            <w:tcW w:w="2331" w:type="dxa"/>
            <w:vMerge w:val="restart"/>
          </w:tcPr>
          <w:p w14:paraId="45A4A5D1" w14:textId="77777777" w:rsidR="00634D7D" w:rsidRPr="00C53926" w:rsidRDefault="00634D7D" w:rsidP="0052634C">
            <w:pPr>
              <w:spacing w:line="276" w:lineRule="auto"/>
              <w:rPr>
                <w:rFonts w:cstheme="minorHAnsi"/>
                <w:color w:val="000000"/>
              </w:rPr>
            </w:pPr>
            <w:r w:rsidRPr="00C53926">
              <w:rPr>
                <w:rFonts w:cstheme="minorHAnsi"/>
                <w:color w:val="000000"/>
              </w:rPr>
              <w:lastRenderedPageBreak/>
              <w:t>Participation</w:t>
            </w:r>
          </w:p>
          <w:p w14:paraId="57D6DC74" w14:textId="77777777" w:rsidR="00634D7D" w:rsidRPr="00C53926" w:rsidRDefault="00634D7D" w:rsidP="0052634C">
            <w:pPr>
              <w:spacing w:line="276" w:lineRule="auto"/>
              <w:rPr>
                <w:rFonts w:cstheme="minorHAnsi"/>
                <w:iCs/>
              </w:rPr>
            </w:pPr>
          </w:p>
        </w:tc>
        <w:tc>
          <w:tcPr>
            <w:tcW w:w="1149" w:type="dxa"/>
          </w:tcPr>
          <w:p w14:paraId="68D42ECC" w14:textId="77777777" w:rsidR="00634D7D" w:rsidRPr="00C53926" w:rsidRDefault="00634D7D" w:rsidP="0052634C">
            <w:pPr>
              <w:spacing w:line="276" w:lineRule="auto"/>
              <w:rPr>
                <w:rFonts w:cstheme="minorHAnsi"/>
                <w:iCs/>
              </w:rPr>
            </w:pPr>
            <w:r w:rsidRPr="00C53926">
              <w:rPr>
                <w:rFonts w:cstheme="minorHAnsi"/>
                <w:iCs/>
              </w:rPr>
              <w:t>Primary</w:t>
            </w:r>
          </w:p>
        </w:tc>
        <w:tc>
          <w:tcPr>
            <w:tcW w:w="784" w:type="dxa"/>
            <w:vAlign w:val="bottom"/>
          </w:tcPr>
          <w:p w14:paraId="2F142E17" w14:textId="2FE7A86F" w:rsidR="00634D7D" w:rsidRPr="00C53926" w:rsidRDefault="00634D7D" w:rsidP="0052634C">
            <w:pPr>
              <w:spacing w:line="276" w:lineRule="auto"/>
              <w:rPr>
                <w:rFonts w:cstheme="minorHAnsi"/>
                <w:iCs/>
              </w:rPr>
            </w:pPr>
            <w:r>
              <w:rPr>
                <w:rFonts w:ascii="Calibri" w:hAnsi="Calibri" w:cs="Calibri"/>
                <w:color w:val="000000"/>
              </w:rPr>
              <w:t>25</w:t>
            </w:r>
          </w:p>
        </w:tc>
        <w:tc>
          <w:tcPr>
            <w:tcW w:w="1012" w:type="dxa"/>
          </w:tcPr>
          <w:p w14:paraId="3438E400" w14:textId="539FC4C6" w:rsidR="00634D7D" w:rsidRPr="00C53926" w:rsidRDefault="00634D7D" w:rsidP="0052634C">
            <w:pPr>
              <w:spacing w:line="276" w:lineRule="auto"/>
              <w:rPr>
                <w:rFonts w:cstheme="minorHAnsi"/>
                <w:iCs/>
              </w:rPr>
            </w:pPr>
            <w:r>
              <w:rPr>
                <w:rFonts w:cstheme="minorHAnsi"/>
                <w:iCs/>
              </w:rPr>
              <w:t>8</w:t>
            </w:r>
          </w:p>
        </w:tc>
        <w:tc>
          <w:tcPr>
            <w:tcW w:w="979" w:type="dxa"/>
          </w:tcPr>
          <w:p w14:paraId="058F9DF5" w14:textId="64FB9238" w:rsidR="00634D7D" w:rsidRPr="00C53926" w:rsidRDefault="00634D7D" w:rsidP="0052634C">
            <w:pPr>
              <w:spacing w:line="276" w:lineRule="auto"/>
              <w:rPr>
                <w:rFonts w:cstheme="minorHAnsi"/>
                <w:iCs/>
              </w:rPr>
            </w:pPr>
            <w:r>
              <w:rPr>
                <w:rFonts w:cstheme="minorHAnsi"/>
                <w:iCs/>
              </w:rPr>
              <w:t>6</w:t>
            </w:r>
          </w:p>
        </w:tc>
        <w:tc>
          <w:tcPr>
            <w:tcW w:w="915" w:type="dxa"/>
          </w:tcPr>
          <w:p w14:paraId="71AB7E31" w14:textId="2DDC2332" w:rsidR="00634D7D" w:rsidRPr="00C53926" w:rsidRDefault="00634D7D" w:rsidP="0052634C">
            <w:pPr>
              <w:spacing w:line="276" w:lineRule="auto"/>
              <w:rPr>
                <w:rFonts w:cstheme="minorHAnsi"/>
                <w:iCs/>
              </w:rPr>
            </w:pPr>
            <w:r>
              <w:rPr>
                <w:rFonts w:cstheme="minorHAnsi"/>
                <w:iCs/>
              </w:rPr>
              <w:t>5</w:t>
            </w:r>
          </w:p>
        </w:tc>
        <w:tc>
          <w:tcPr>
            <w:tcW w:w="1004" w:type="dxa"/>
          </w:tcPr>
          <w:p w14:paraId="5B1514DC" w14:textId="0F4DBE41" w:rsidR="00634D7D" w:rsidRPr="00C53926" w:rsidRDefault="00634D7D" w:rsidP="0052634C">
            <w:pPr>
              <w:spacing w:line="276" w:lineRule="auto"/>
              <w:rPr>
                <w:rFonts w:cstheme="minorHAnsi"/>
                <w:iCs/>
              </w:rPr>
            </w:pPr>
            <w:r>
              <w:rPr>
                <w:rFonts w:cstheme="minorHAnsi"/>
                <w:iCs/>
              </w:rPr>
              <w:t>4</w:t>
            </w:r>
          </w:p>
        </w:tc>
        <w:tc>
          <w:tcPr>
            <w:tcW w:w="842" w:type="dxa"/>
          </w:tcPr>
          <w:p w14:paraId="52CE2DE3" w14:textId="19BD8798" w:rsidR="00634D7D" w:rsidRPr="00C53926" w:rsidRDefault="00634D7D" w:rsidP="0052634C">
            <w:pPr>
              <w:spacing w:line="276" w:lineRule="auto"/>
              <w:rPr>
                <w:rFonts w:cstheme="minorHAnsi"/>
                <w:iCs/>
              </w:rPr>
            </w:pPr>
            <w:r>
              <w:rPr>
                <w:rFonts w:cstheme="minorHAnsi"/>
                <w:iCs/>
              </w:rPr>
              <w:t>2</w:t>
            </w:r>
          </w:p>
        </w:tc>
      </w:tr>
      <w:tr w:rsidR="00634D7D" w:rsidRPr="00C53926" w14:paraId="113044CC" w14:textId="77777777" w:rsidTr="3A8BAEDD">
        <w:tc>
          <w:tcPr>
            <w:tcW w:w="2331" w:type="dxa"/>
            <w:vMerge/>
          </w:tcPr>
          <w:p w14:paraId="3FC2CAC6" w14:textId="77777777" w:rsidR="00634D7D" w:rsidRPr="00C53926" w:rsidRDefault="00634D7D" w:rsidP="0052634C">
            <w:pPr>
              <w:spacing w:line="276" w:lineRule="auto"/>
              <w:rPr>
                <w:rFonts w:cstheme="minorHAnsi"/>
                <w:iCs/>
              </w:rPr>
            </w:pPr>
          </w:p>
        </w:tc>
        <w:tc>
          <w:tcPr>
            <w:tcW w:w="1149" w:type="dxa"/>
          </w:tcPr>
          <w:p w14:paraId="2EE9E1B3" w14:textId="77777777" w:rsidR="00634D7D" w:rsidRPr="00C53926" w:rsidRDefault="00634D7D" w:rsidP="0052634C">
            <w:pPr>
              <w:spacing w:line="276" w:lineRule="auto"/>
              <w:rPr>
                <w:rFonts w:cstheme="minorHAnsi"/>
                <w:iCs/>
              </w:rPr>
            </w:pPr>
            <w:r w:rsidRPr="00C53926">
              <w:rPr>
                <w:rFonts w:cstheme="minorHAnsi"/>
                <w:iCs/>
              </w:rPr>
              <w:t>Secondary</w:t>
            </w:r>
          </w:p>
        </w:tc>
        <w:tc>
          <w:tcPr>
            <w:tcW w:w="784" w:type="dxa"/>
            <w:vAlign w:val="bottom"/>
          </w:tcPr>
          <w:p w14:paraId="5D846CB6" w14:textId="3F55CBB2" w:rsidR="00634D7D" w:rsidRPr="00C53926" w:rsidRDefault="00341656" w:rsidP="0052634C">
            <w:pPr>
              <w:spacing w:line="276" w:lineRule="auto"/>
              <w:rPr>
                <w:rFonts w:cstheme="minorHAnsi"/>
                <w:iCs/>
              </w:rPr>
            </w:pPr>
            <w:r>
              <w:rPr>
                <w:rFonts w:ascii="Calibri" w:hAnsi="Calibri" w:cs="Calibri"/>
                <w:color w:val="000000"/>
              </w:rPr>
              <w:t>18</w:t>
            </w:r>
          </w:p>
        </w:tc>
        <w:tc>
          <w:tcPr>
            <w:tcW w:w="1012" w:type="dxa"/>
          </w:tcPr>
          <w:p w14:paraId="3C4B7668" w14:textId="07EDF398" w:rsidR="00634D7D" w:rsidRPr="00C53926" w:rsidRDefault="00634D7D" w:rsidP="0052634C">
            <w:pPr>
              <w:spacing w:line="276" w:lineRule="auto"/>
              <w:rPr>
                <w:rFonts w:cstheme="minorHAnsi"/>
                <w:iCs/>
              </w:rPr>
            </w:pPr>
            <w:r>
              <w:rPr>
                <w:rFonts w:cstheme="minorHAnsi"/>
                <w:iCs/>
              </w:rPr>
              <w:t>8</w:t>
            </w:r>
          </w:p>
        </w:tc>
        <w:tc>
          <w:tcPr>
            <w:tcW w:w="979" w:type="dxa"/>
          </w:tcPr>
          <w:p w14:paraId="360A4A06" w14:textId="5B5B8FCD" w:rsidR="00634D7D" w:rsidRPr="00C53926" w:rsidRDefault="00341656" w:rsidP="0052634C">
            <w:pPr>
              <w:spacing w:line="276" w:lineRule="auto"/>
              <w:rPr>
                <w:rFonts w:cstheme="minorHAnsi"/>
                <w:iCs/>
              </w:rPr>
            </w:pPr>
            <w:r>
              <w:rPr>
                <w:rFonts w:cstheme="minorHAnsi"/>
                <w:iCs/>
              </w:rPr>
              <w:t>5</w:t>
            </w:r>
          </w:p>
        </w:tc>
        <w:tc>
          <w:tcPr>
            <w:tcW w:w="915" w:type="dxa"/>
          </w:tcPr>
          <w:p w14:paraId="43C6A4A4" w14:textId="3150AF95" w:rsidR="00634D7D" w:rsidRPr="00C53926" w:rsidRDefault="00634D7D" w:rsidP="0052634C">
            <w:pPr>
              <w:spacing w:line="276" w:lineRule="auto"/>
              <w:rPr>
                <w:rFonts w:cstheme="minorHAnsi"/>
                <w:iCs/>
              </w:rPr>
            </w:pPr>
            <w:r>
              <w:rPr>
                <w:rFonts w:cstheme="minorHAnsi"/>
                <w:iCs/>
              </w:rPr>
              <w:t>3</w:t>
            </w:r>
          </w:p>
        </w:tc>
        <w:tc>
          <w:tcPr>
            <w:tcW w:w="1004" w:type="dxa"/>
          </w:tcPr>
          <w:p w14:paraId="36A706F6" w14:textId="6C2A633F" w:rsidR="00634D7D" w:rsidRPr="00C53926" w:rsidRDefault="00634D7D" w:rsidP="0052634C">
            <w:pPr>
              <w:spacing w:line="276" w:lineRule="auto"/>
              <w:rPr>
                <w:rFonts w:cstheme="minorHAnsi"/>
                <w:iCs/>
              </w:rPr>
            </w:pPr>
            <w:r>
              <w:rPr>
                <w:rFonts w:cstheme="minorHAnsi"/>
                <w:iCs/>
              </w:rPr>
              <w:t>2</w:t>
            </w:r>
          </w:p>
        </w:tc>
        <w:tc>
          <w:tcPr>
            <w:tcW w:w="842" w:type="dxa"/>
          </w:tcPr>
          <w:p w14:paraId="40C2EDF9" w14:textId="701B8EE9" w:rsidR="00634D7D" w:rsidRPr="00C53926" w:rsidRDefault="00634D7D" w:rsidP="0052634C">
            <w:pPr>
              <w:spacing w:line="276" w:lineRule="auto"/>
              <w:rPr>
                <w:rFonts w:cstheme="minorHAnsi"/>
                <w:iCs/>
              </w:rPr>
            </w:pPr>
            <w:r>
              <w:rPr>
                <w:rFonts w:cstheme="minorHAnsi"/>
                <w:iCs/>
              </w:rPr>
              <w:t>0</w:t>
            </w:r>
          </w:p>
        </w:tc>
      </w:tr>
      <w:tr w:rsidR="00634D7D" w:rsidRPr="00C53926" w14:paraId="3A1E261D" w14:textId="77777777" w:rsidTr="3A8BAEDD">
        <w:tc>
          <w:tcPr>
            <w:tcW w:w="2331" w:type="dxa"/>
            <w:vMerge w:val="restart"/>
          </w:tcPr>
          <w:p w14:paraId="46225D8E" w14:textId="77777777" w:rsidR="00634D7D" w:rsidRPr="00C53926" w:rsidRDefault="00634D7D" w:rsidP="0052634C">
            <w:pPr>
              <w:spacing w:line="276" w:lineRule="auto"/>
              <w:rPr>
                <w:rFonts w:cstheme="minorHAnsi"/>
                <w:color w:val="000000"/>
              </w:rPr>
            </w:pPr>
            <w:r w:rsidRPr="00C53926">
              <w:rPr>
                <w:rFonts w:cstheme="minorHAnsi"/>
                <w:color w:val="000000"/>
              </w:rPr>
              <w:t>Physical activity</w:t>
            </w:r>
          </w:p>
          <w:p w14:paraId="2A4F1C66" w14:textId="77777777" w:rsidR="00634D7D" w:rsidRPr="00C53926" w:rsidRDefault="00634D7D" w:rsidP="0052634C">
            <w:pPr>
              <w:spacing w:line="276" w:lineRule="auto"/>
              <w:rPr>
                <w:rFonts w:cstheme="minorHAnsi"/>
                <w:iCs/>
              </w:rPr>
            </w:pPr>
          </w:p>
        </w:tc>
        <w:tc>
          <w:tcPr>
            <w:tcW w:w="1149" w:type="dxa"/>
          </w:tcPr>
          <w:p w14:paraId="38014B39" w14:textId="77777777" w:rsidR="00634D7D" w:rsidRPr="00C53926" w:rsidRDefault="00634D7D" w:rsidP="0052634C">
            <w:pPr>
              <w:spacing w:line="276" w:lineRule="auto"/>
              <w:rPr>
                <w:rFonts w:cstheme="minorHAnsi"/>
                <w:iCs/>
              </w:rPr>
            </w:pPr>
            <w:r w:rsidRPr="00C53926">
              <w:rPr>
                <w:rFonts w:cstheme="minorHAnsi"/>
                <w:iCs/>
              </w:rPr>
              <w:t>Primary</w:t>
            </w:r>
          </w:p>
        </w:tc>
        <w:tc>
          <w:tcPr>
            <w:tcW w:w="784" w:type="dxa"/>
            <w:vAlign w:val="bottom"/>
          </w:tcPr>
          <w:p w14:paraId="24AF9F34" w14:textId="4E39522A" w:rsidR="00634D7D" w:rsidRPr="00C53926" w:rsidRDefault="00634D7D" w:rsidP="0052634C">
            <w:pPr>
              <w:spacing w:line="276" w:lineRule="auto"/>
              <w:rPr>
                <w:rFonts w:cstheme="minorHAnsi"/>
                <w:iCs/>
              </w:rPr>
            </w:pPr>
            <w:r>
              <w:rPr>
                <w:rFonts w:ascii="Calibri" w:hAnsi="Calibri" w:cs="Calibri"/>
                <w:color w:val="000000"/>
              </w:rPr>
              <w:t>6</w:t>
            </w:r>
          </w:p>
        </w:tc>
        <w:tc>
          <w:tcPr>
            <w:tcW w:w="1012" w:type="dxa"/>
          </w:tcPr>
          <w:p w14:paraId="007B4B09" w14:textId="49F66CD3" w:rsidR="00634D7D" w:rsidRPr="00C53926" w:rsidRDefault="00634D7D" w:rsidP="0052634C">
            <w:pPr>
              <w:spacing w:line="276" w:lineRule="auto"/>
              <w:rPr>
                <w:rFonts w:cstheme="minorHAnsi"/>
                <w:iCs/>
              </w:rPr>
            </w:pPr>
            <w:r>
              <w:rPr>
                <w:rFonts w:cstheme="minorHAnsi"/>
                <w:iCs/>
              </w:rPr>
              <w:t>0</w:t>
            </w:r>
          </w:p>
        </w:tc>
        <w:tc>
          <w:tcPr>
            <w:tcW w:w="979" w:type="dxa"/>
          </w:tcPr>
          <w:p w14:paraId="14FA5424" w14:textId="577C6C1A" w:rsidR="00634D7D" w:rsidRPr="00C53926" w:rsidRDefault="00634D7D" w:rsidP="0052634C">
            <w:pPr>
              <w:spacing w:line="276" w:lineRule="auto"/>
              <w:rPr>
                <w:rFonts w:cstheme="minorHAnsi"/>
                <w:iCs/>
              </w:rPr>
            </w:pPr>
            <w:r>
              <w:rPr>
                <w:rFonts w:cstheme="minorHAnsi"/>
                <w:iCs/>
              </w:rPr>
              <w:t>5</w:t>
            </w:r>
          </w:p>
        </w:tc>
        <w:tc>
          <w:tcPr>
            <w:tcW w:w="915" w:type="dxa"/>
          </w:tcPr>
          <w:p w14:paraId="627AA193" w14:textId="3632FF2C" w:rsidR="00634D7D" w:rsidRPr="00C53926" w:rsidRDefault="00634D7D" w:rsidP="0052634C">
            <w:pPr>
              <w:spacing w:line="276" w:lineRule="auto"/>
              <w:rPr>
                <w:rFonts w:cstheme="minorHAnsi"/>
                <w:iCs/>
              </w:rPr>
            </w:pPr>
            <w:r>
              <w:rPr>
                <w:rFonts w:cstheme="minorHAnsi"/>
                <w:iCs/>
              </w:rPr>
              <w:t>0</w:t>
            </w:r>
          </w:p>
        </w:tc>
        <w:tc>
          <w:tcPr>
            <w:tcW w:w="1004" w:type="dxa"/>
          </w:tcPr>
          <w:p w14:paraId="15956819" w14:textId="433C3333" w:rsidR="00634D7D" w:rsidRPr="00C53926" w:rsidRDefault="00634D7D" w:rsidP="0052634C">
            <w:pPr>
              <w:spacing w:line="276" w:lineRule="auto"/>
              <w:rPr>
                <w:rFonts w:cstheme="minorHAnsi"/>
                <w:iCs/>
              </w:rPr>
            </w:pPr>
            <w:r>
              <w:rPr>
                <w:rFonts w:cstheme="minorHAnsi"/>
                <w:iCs/>
              </w:rPr>
              <w:t>0</w:t>
            </w:r>
          </w:p>
        </w:tc>
        <w:tc>
          <w:tcPr>
            <w:tcW w:w="842" w:type="dxa"/>
          </w:tcPr>
          <w:p w14:paraId="1FC7413B" w14:textId="7F6305C1" w:rsidR="00634D7D" w:rsidRPr="00C53926" w:rsidRDefault="00634D7D" w:rsidP="0052634C">
            <w:pPr>
              <w:spacing w:line="276" w:lineRule="auto"/>
              <w:rPr>
                <w:rFonts w:cstheme="minorHAnsi"/>
                <w:iCs/>
              </w:rPr>
            </w:pPr>
            <w:r>
              <w:rPr>
                <w:rFonts w:cstheme="minorHAnsi"/>
                <w:iCs/>
              </w:rPr>
              <w:t>1</w:t>
            </w:r>
          </w:p>
        </w:tc>
      </w:tr>
      <w:tr w:rsidR="00634D7D" w:rsidRPr="00C53926" w14:paraId="20B1FE0A" w14:textId="77777777" w:rsidTr="3A8BAEDD">
        <w:tc>
          <w:tcPr>
            <w:tcW w:w="2331" w:type="dxa"/>
            <w:vMerge/>
          </w:tcPr>
          <w:p w14:paraId="31A8EA6C" w14:textId="77777777" w:rsidR="00634D7D" w:rsidRPr="00C53926" w:rsidRDefault="00634D7D" w:rsidP="0052634C">
            <w:pPr>
              <w:spacing w:line="276" w:lineRule="auto"/>
              <w:rPr>
                <w:rFonts w:cstheme="minorHAnsi"/>
                <w:iCs/>
              </w:rPr>
            </w:pPr>
          </w:p>
        </w:tc>
        <w:tc>
          <w:tcPr>
            <w:tcW w:w="1149" w:type="dxa"/>
          </w:tcPr>
          <w:p w14:paraId="3835FA71" w14:textId="77777777" w:rsidR="00634D7D" w:rsidRPr="00C53926" w:rsidRDefault="00634D7D" w:rsidP="0052634C">
            <w:pPr>
              <w:spacing w:line="276" w:lineRule="auto"/>
              <w:rPr>
                <w:rFonts w:cstheme="minorHAnsi"/>
                <w:iCs/>
              </w:rPr>
            </w:pPr>
            <w:r w:rsidRPr="00C53926">
              <w:rPr>
                <w:rFonts w:cstheme="minorHAnsi"/>
                <w:iCs/>
              </w:rPr>
              <w:t>Secondary</w:t>
            </w:r>
          </w:p>
        </w:tc>
        <w:tc>
          <w:tcPr>
            <w:tcW w:w="784" w:type="dxa"/>
            <w:vAlign w:val="bottom"/>
          </w:tcPr>
          <w:p w14:paraId="09D5864A" w14:textId="081205F4" w:rsidR="00634D7D" w:rsidRPr="00C53926" w:rsidRDefault="00634D7D" w:rsidP="0052634C">
            <w:pPr>
              <w:spacing w:line="276" w:lineRule="auto"/>
              <w:rPr>
                <w:rFonts w:cstheme="minorHAnsi"/>
                <w:iCs/>
              </w:rPr>
            </w:pPr>
            <w:r>
              <w:rPr>
                <w:rFonts w:ascii="Calibri" w:hAnsi="Calibri" w:cs="Calibri"/>
                <w:color w:val="000000"/>
              </w:rPr>
              <w:t>4</w:t>
            </w:r>
          </w:p>
        </w:tc>
        <w:tc>
          <w:tcPr>
            <w:tcW w:w="1012" w:type="dxa"/>
          </w:tcPr>
          <w:p w14:paraId="5F8D7210" w14:textId="6D87252A" w:rsidR="00634D7D" w:rsidRPr="00C53926" w:rsidRDefault="00634D7D" w:rsidP="0052634C">
            <w:pPr>
              <w:spacing w:line="276" w:lineRule="auto"/>
              <w:rPr>
                <w:rFonts w:cstheme="minorHAnsi"/>
                <w:iCs/>
              </w:rPr>
            </w:pPr>
            <w:r>
              <w:rPr>
                <w:rFonts w:cstheme="minorHAnsi"/>
                <w:iCs/>
              </w:rPr>
              <w:t>0</w:t>
            </w:r>
          </w:p>
        </w:tc>
        <w:tc>
          <w:tcPr>
            <w:tcW w:w="979" w:type="dxa"/>
          </w:tcPr>
          <w:p w14:paraId="505DBDF5" w14:textId="17ADE918" w:rsidR="00634D7D" w:rsidRPr="00C53926" w:rsidRDefault="00634D7D" w:rsidP="0052634C">
            <w:pPr>
              <w:spacing w:line="276" w:lineRule="auto"/>
              <w:rPr>
                <w:rFonts w:cstheme="minorHAnsi"/>
                <w:iCs/>
              </w:rPr>
            </w:pPr>
            <w:r>
              <w:rPr>
                <w:rFonts w:cstheme="minorHAnsi"/>
                <w:iCs/>
              </w:rPr>
              <w:t>2</w:t>
            </w:r>
          </w:p>
        </w:tc>
        <w:tc>
          <w:tcPr>
            <w:tcW w:w="915" w:type="dxa"/>
          </w:tcPr>
          <w:p w14:paraId="374D3A4B" w14:textId="077C1B11" w:rsidR="00634D7D" w:rsidRPr="00C53926" w:rsidRDefault="00634D7D" w:rsidP="0052634C">
            <w:pPr>
              <w:spacing w:line="276" w:lineRule="auto"/>
              <w:rPr>
                <w:rFonts w:cstheme="minorHAnsi"/>
                <w:iCs/>
              </w:rPr>
            </w:pPr>
            <w:r>
              <w:rPr>
                <w:rFonts w:cstheme="minorHAnsi"/>
                <w:iCs/>
              </w:rPr>
              <w:t>0</w:t>
            </w:r>
          </w:p>
        </w:tc>
        <w:tc>
          <w:tcPr>
            <w:tcW w:w="1004" w:type="dxa"/>
          </w:tcPr>
          <w:p w14:paraId="28C2245E" w14:textId="57F68DA5" w:rsidR="00634D7D" w:rsidRPr="00C53926" w:rsidRDefault="00634D7D" w:rsidP="0052634C">
            <w:pPr>
              <w:spacing w:line="276" w:lineRule="auto"/>
              <w:rPr>
                <w:rFonts w:cstheme="minorHAnsi"/>
                <w:iCs/>
              </w:rPr>
            </w:pPr>
            <w:r>
              <w:rPr>
                <w:rFonts w:cstheme="minorHAnsi"/>
                <w:iCs/>
              </w:rPr>
              <w:t>0</w:t>
            </w:r>
          </w:p>
        </w:tc>
        <w:tc>
          <w:tcPr>
            <w:tcW w:w="842" w:type="dxa"/>
          </w:tcPr>
          <w:p w14:paraId="3AF9EAD0" w14:textId="66E9A0AA" w:rsidR="00634D7D" w:rsidRPr="00C53926" w:rsidRDefault="00634D7D" w:rsidP="0052634C">
            <w:pPr>
              <w:spacing w:line="276" w:lineRule="auto"/>
              <w:rPr>
                <w:rFonts w:cstheme="minorHAnsi"/>
                <w:iCs/>
              </w:rPr>
            </w:pPr>
            <w:r>
              <w:rPr>
                <w:rFonts w:cstheme="minorHAnsi"/>
                <w:iCs/>
              </w:rPr>
              <w:t>2</w:t>
            </w:r>
          </w:p>
        </w:tc>
      </w:tr>
      <w:tr w:rsidR="00634D7D" w:rsidRPr="00C53926" w14:paraId="0E6D5A3F" w14:textId="77777777" w:rsidTr="3A8BAEDD">
        <w:tc>
          <w:tcPr>
            <w:tcW w:w="2331" w:type="dxa"/>
            <w:vMerge w:val="restart"/>
          </w:tcPr>
          <w:p w14:paraId="11A563A3" w14:textId="77777777" w:rsidR="00634D7D" w:rsidRPr="00C53926" w:rsidRDefault="00634D7D" w:rsidP="0052634C">
            <w:pPr>
              <w:spacing w:line="276" w:lineRule="auto"/>
              <w:rPr>
                <w:rFonts w:cstheme="minorHAnsi"/>
                <w:color w:val="000000"/>
              </w:rPr>
            </w:pPr>
            <w:r w:rsidRPr="00C53926">
              <w:rPr>
                <w:rFonts w:cstheme="minorHAnsi"/>
                <w:color w:val="000000"/>
              </w:rPr>
              <w:t>Physical function capacity</w:t>
            </w:r>
          </w:p>
          <w:p w14:paraId="3F746953" w14:textId="77777777" w:rsidR="00634D7D" w:rsidRPr="00C53926" w:rsidRDefault="00634D7D" w:rsidP="0052634C">
            <w:pPr>
              <w:spacing w:line="276" w:lineRule="auto"/>
              <w:rPr>
                <w:rFonts w:cstheme="minorHAnsi"/>
                <w:iCs/>
              </w:rPr>
            </w:pPr>
          </w:p>
        </w:tc>
        <w:tc>
          <w:tcPr>
            <w:tcW w:w="1149" w:type="dxa"/>
          </w:tcPr>
          <w:p w14:paraId="6FF974D5" w14:textId="77777777" w:rsidR="00634D7D" w:rsidRPr="00C53926" w:rsidRDefault="00634D7D" w:rsidP="0052634C">
            <w:pPr>
              <w:spacing w:line="276" w:lineRule="auto"/>
              <w:rPr>
                <w:rFonts w:cstheme="minorHAnsi"/>
                <w:iCs/>
              </w:rPr>
            </w:pPr>
            <w:r w:rsidRPr="00C53926">
              <w:rPr>
                <w:rFonts w:cstheme="minorHAnsi"/>
                <w:iCs/>
              </w:rPr>
              <w:t>Primary</w:t>
            </w:r>
          </w:p>
        </w:tc>
        <w:tc>
          <w:tcPr>
            <w:tcW w:w="784" w:type="dxa"/>
            <w:vAlign w:val="bottom"/>
          </w:tcPr>
          <w:p w14:paraId="50040DDB" w14:textId="367B1C4F" w:rsidR="00634D7D" w:rsidRPr="00C53926" w:rsidRDefault="00634D7D" w:rsidP="0052634C">
            <w:pPr>
              <w:spacing w:line="276" w:lineRule="auto"/>
              <w:rPr>
                <w:rFonts w:cstheme="minorHAnsi"/>
                <w:iCs/>
              </w:rPr>
            </w:pPr>
            <w:r>
              <w:rPr>
                <w:rFonts w:ascii="Calibri" w:hAnsi="Calibri" w:cs="Calibri"/>
                <w:color w:val="000000"/>
              </w:rPr>
              <w:t>100</w:t>
            </w:r>
          </w:p>
        </w:tc>
        <w:tc>
          <w:tcPr>
            <w:tcW w:w="1012" w:type="dxa"/>
          </w:tcPr>
          <w:p w14:paraId="46947BC6" w14:textId="40A71AF7" w:rsidR="00634D7D" w:rsidRPr="00C53926" w:rsidRDefault="00634D7D" w:rsidP="0052634C">
            <w:pPr>
              <w:spacing w:line="276" w:lineRule="auto"/>
              <w:rPr>
                <w:rFonts w:cstheme="minorHAnsi"/>
                <w:iCs/>
              </w:rPr>
            </w:pPr>
            <w:r>
              <w:rPr>
                <w:rFonts w:cstheme="minorHAnsi"/>
                <w:iCs/>
              </w:rPr>
              <w:t>30</w:t>
            </w:r>
          </w:p>
        </w:tc>
        <w:tc>
          <w:tcPr>
            <w:tcW w:w="979" w:type="dxa"/>
          </w:tcPr>
          <w:p w14:paraId="495D4660" w14:textId="659336FE" w:rsidR="00634D7D" w:rsidRPr="00C53926" w:rsidRDefault="00634D7D" w:rsidP="0052634C">
            <w:pPr>
              <w:spacing w:line="276" w:lineRule="auto"/>
              <w:rPr>
                <w:rFonts w:cstheme="minorHAnsi"/>
                <w:iCs/>
              </w:rPr>
            </w:pPr>
            <w:r>
              <w:rPr>
                <w:rFonts w:cstheme="minorHAnsi"/>
                <w:iCs/>
              </w:rPr>
              <w:t>13</w:t>
            </w:r>
          </w:p>
        </w:tc>
        <w:tc>
          <w:tcPr>
            <w:tcW w:w="915" w:type="dxa"/>
          </w:tcPr>
          <w:p w14:paraId="1A61BCD9" w14:textId="26E9A77C" w:rsidR="00634D7D" w:rsidRPr="00C53926" w:rsidRDefault="00634D7D" w:rsidP="0052634C">
            <w:pPr>
              <w:spacing w:line="276" w:lineRule="auto"/>
              <w:rPr>
                <w:rFonts w:cstheme="minorHAnsi"/>
                <w:iCs/>
              </w:rPr>
            </w:pPr>
            <w:r>
              <w:rPr>
                <w:rFonts w:cstheme="minorHAnsi"/>
                <w:iCs/>
              </w:rPr>
              <w:t>40</w:t>
            </w:r>
          </w:p>
        </w:tc>
        <w:tc>
          <w:tcPr>
            <w:tcW w:w="1004" w:type="dxa"/>
          </w:tcPr>
          <w:p w14:paraId="3296A0DB" w14:textId="45F4EFC4" w:rsidR="00634D7D" w:rsidRPr="00C53926" w:rsidRDefault="00634D7D" w:rsidP="0052634C">
            <w:pPr>
              <w:spacing w:line="276" w:lineRule="auto"/>
              <w:rPr>
                <w:rFonts w:cstheme="minorHAnsi"/>
                <w:iCs/>
              </w:rPr>
            </w:pPr>
            <w:r>
              <w:rPr>
                <w:rFonts w:cstheme="minorHAnsi"/>
                <w:iCs/>
              </w:rPr>
              <w:t>8</w:t>
            </w:r>
          </w:p>
        </w:tc>
        <w:tc>
          <w:tcPr>
            <w:tcW w:w="842" w:type="dxa"/>
          </w:tcPr>
          <w:p w14:paraId="57A5CB19" w14:textId="458E765B" w:rsidR="00634D7D" w:rsidRPr="00C53926" w:rsidRDefault="00634D7D" w:rsidP="0052634C">
            <w:pPr>
              <w:spacing w:line="276" w:lineRule="auto"/>
              <w:rPr>
                <w:rFonts w:cstheme="minorHAnsi"/>
                <w:iCs/>
              </w:rPr>
            </w:pPr>
            <w:r>
              <w:rPr>
                <w:rFonts w:cstheme="minorHAnsi"/>
                <w:iCs/>
              </w:rPr>
              <w:t>9</w:t>
            </w:r>
          </w:p>
        </w:tc>
      </w:tr>
      <w:tr w:rsidR="00634D7D" w:rsidRPr="00C53926" w14:paraId="6D0EF393" w14:textId="77777777" w:rsidTr="3A8BAEDD">
        <w:tc>
          <w:tcPr>
            <w:tcW w:w="2331" w:type="dxa"/>
            <w:vMerge/>
          </w:tcPr>
          <w:p w14:paraId="142BE666" w14:textId="77777777" w:rsidR="00634D7D" w:rsidRPr="00C53926" w:rsidRDefault="00634D7D" w:rsidP="0052634C">
            <w:pPr>
              <w:spacing w:line="276" w:lineRule="auto"/>
              <w:rPr>
                <w:rFonts w:cstheme="minorHAnsi"/>
                <w:iCs/>
              </w:rPr>
            </w:pPr>
          </w:p>
        </w:tc>
        <w:tc>
          <w:tcPr>
            <w:tcW w:w="1149" w:type="dxa"/>
          </w:tcPr>
          <w:p w14:paraId="7332A3C7" w14:textId="77777777" w:rsidR="00634D7D" w:rsidRPr="00C53926" w:rsidRDefault="00634D7D" w:rsidP="0052634C">
            <w:pPr>
              <w:spacing w:line="276" w:lineRule="auto"/>
              <w:rPr>
                <w:rFonts w:cstheme="minorHAnsi"/>
                <w:iCs/>
              </w:rPr>
            </w:pPr>
            <w:r w:rsidRPr="00C53926">
              <w:rPr>
                <w:rFonts w:cstheme="minorHAnsi"/>
                <w:iCs/>
              </w:rPr>
              <w:t>Secondary</w:t>
            </w:r>
          </w:p>
        </w:tc>
        <w:tc>
          <w:tcPr>
            <w:tcW w:w="784" w:type="dxa"/>
            <w:vAlign w:val="bottom"/>
          </w:tcPr>
          <w:p w14:paraId="78C2097E" w14:textId="2BF9E528" w:rsidR="00634D7D" w:rsidRPr="00C53926" w:rsidRDefault="00634D7D" w:rsidP="0052634C">
            <w:pPr>
              <w:spacing w:line="276" w:lineRule="auto"/>
              <w:rPr>
                <w:rFonts w:cstheme="minorHAnsi"/>
                <w:iCs/>
              </w:rPr>
            </w:pPr>
            <w:r>
              <w:rPr>
                <w:rFonts w:ascii="Calibri" w:hAnsi="Calibri" w:cs="Calibri"/>
                <w:color w:val="000000"/>
              </w:rPr>
              <w:t>44</w:t>
            </w:r>
          </w:p>
        </w:tc>
        <w:tc>
          <w:tcPr>
            <w:tcW w:w="1012" w:type="dxa"/>
          </w:tcPr>
          <w:p w14:paraId="46F31EE2" w14:textId="29D044BE" w:rsidR="00634D7D" w:rsidRPr="00C53926" w:rsidRDefault="00634D7D" w:rsidP="0052634C">
            <w:pPr>
              <w:spacing w:line="276" w:lineRule="auto"/>
              <w:rPr>
                <w:rFonts w:cstheme="minorHAnsi"/>
                <w:iCs/>
              </w:rPr>
            </w:pPr>
            <w:r>
              <w:rPr>
                <w:rFonts w:cstheme="minorHAnsi"/>
                <w:iCs/>
              </w:rPr>
              <w:t>18</w:t>
            </w:r>
          </w:p>
        </w:tc>
        <w:tc>
          <w:tcPr>
            <w:tcW w:w="979" w:type="dxa"/>
          </w:tcPr>
          <w:p w14:paraId="77F4A488" w14:textId="05D40175" w:rsidR="00634D7D" w:rsidRPr="00C53926" w:rsidRDefault="00634D7D" w:rsidP="0052634C">
            <w:pPr>
              <w:spacing w:line="276" w:lineRule="auto"/>
              <w:rPr>
                <w:rFonts w:cstheme="minorHAnsi"/>
                <w:iCs/>
              </w:rPr>
            </w:pPr>
            <w:r>
              <w:rPr>
                <w:rFonts w:cstheme="minorHAnsi"/>
                <w:iCs/>
              </w:rPr>
              <w:t>7</w:t>
            </w:r>
          </w:p>
        </w:tc>
        <w:tc>
          <w:tcPr>
            <w:tcW w:w="915" w:type="dxa"/>
          </w:tcPr>
          <w:p w14:paraId="7F58ECD7" w14:textId="5852EF60" w:rsidR="00634D7D" w:rsidRPr="00C53926" w:rsidRDefault="00634D7D" w:rsidP="0052634C">
            <w:pPr>
              <w:spacing w:line="276" w:lineRule="auto"/>
              <w:rPr>
                <w:rFonts w:cstheme="minorHAnsi"/>
                <w:iCs/>
              </w:rPr>
            </w:pPr>
            <w:r>
              <w:rPr>
                <w:rFonts w:cstheme="minorHAnsi"/>
                <w:iCs/>
              </w:rPr>
              <w:t>14</w:t>
            </w:r>
          </w:p>
        </w:tc>
        <w:tc>
          <w:tcPr>
            <w:tcW w:w="1004" w:type="dxa"/>
          </w:tcPr>
          <w:p w14:paraId="1182E2A1" w14:textId="28A4D2B4" w:rsidR="00634D7D" w:rsidRPr="00C53926" w:rsidRDefault="00634D7D" w:rsidP="0052634C">
            <w:pPr>
              <w:spacing w:line="276" w:lineRule="auto"/>
              <w:rPr>
                <w:rFonts w:cstheme="minorHAnsi"/>
                <w:iCs/>
              </w:rPr>
            </w:pPr>
            <w:r>
              <w:rPr>
                <w:rFonts w:cstheme="minorHAnsi"/>
                <w:iCs/>
              </w:rPr>
              <w:t>4</w:t>
            </w:r>
          </w:p>
        </w:tc>
        <w:tc>
          <w:tcPr>
            <w:tcW w:w="842" w:type="dxa"/>
          </w:tcPr>
          <w:p w14:paraId="653CEAF7" w14:textId="2BC588BA" w:rsidR="00634D7D" w:rsidRPr="00C53926" w:rsidRDefault="00634D7D" w:rsidP="0052634C">
            <w:pPr>
              <w:spacing w:line="276" w:lineRule="auto"/>
              <w:rPr>
                <w:rFonts w:cstheme="minorHAnsi"/>
                <w:iCs/>
              </w:rPr>
            </w:pPr>
            <w:r>
              <w:rPr>
                <w:rFonts w:cstheme="minorHAnsi"/>
                <w:iCs/>
              </w:rPr>
              <w:t>1</w:t>
            </w:r>
          </w:p>
        </w:tc>
      </w:tr>
      <w:tr w:rsidR="00634D7D" w:rsidRPr="00C53926" w14:paraId="4610641D" w14:textId="77777777" w:rsidTr="3A8BAEDD">
        <w:tc>
          <w:tcPr>
            <w:tcW w:w="2331" w:type="dxa"/>
            <w:vMerge w:val="restart"/>
          </w:tcPr>
          <w:p w14:paraId="70C9DD54" w14:textId="77777777" w:rsidR="00634D7D" w:rsidRPr="00C53926" w:rsidRDefault="00634D7D" w:rsidP="0052634C">
            <w:pPr>
              <w:spacing w:line="276" w:lineRule="auto"/>
              <w:rPr>
                <w:rFonts w:cstheme="minorHAnsi"/>
                <w:color w:val="000000"/>
              </w:rPr>
            </w:pPr>
            <w:r w:rsidRPr="00C53926">
              <w:rPr>
                <w:rFonts w:cstheme="minorHAnsi"/>
                <w:color w:val="000000"/>
              </w:rPr>
              <w:t>Psychological factors</w:t>
            </w:r>
          </w:p>
          <w:p w14:paraId="68B67C2D" w14:textId="77777777" w:rsidR="00634D7D" w:rsidRPr="00C53926" w:rsidRDefault="00634D7D" w:rsidP="0052634C">
            <w:pPr>
              <w:spacing w:line="276" w:lineRule="auto"/>
              <w:rPr>
                <w:rFonts w:cstheme="minorHAnsi"/>
                <w:iCs/>
              </w:rPr>
            </w:pPr>
          </w:p>
        </w:tc>
        <w:tc>
          <w:tcPr>
            <w:tcW w:w="1149" w:type="dxa"/>
          </w:tcPr>
          <w:p w14:paraId="3BC6A948" w14:textId="77777777" w:rsidR="00634D7D" w:rsidRPr="00C53926" w:rsidRDefault="00634D7D" w:rsidP="0052634C">
            <w:pPr>
              <w:spacing w:line="276" w:lineRule="auto"/>
              <w:rPr>
                <w:rFonts w:cstheme="minorHAnsi"/>
                <w:iCs/>
              </w:rPr>
            </w:pPr>
            <w:r w:rsidRPr="00C53926">
              <w:rPr>
                <w:rFonts w:cstheme="minorHAnsi"/>
                <w:iCs/>
              </w:rPr>
              <w:t>Primary</w:t>
            </w:r>
          </w:p>
        </w:tc>
        <w:tc>
          <w:tcPr>
            <w:tcW w:w="784" w:type="dxa"/>
            <w:vAlign w:val="bottom"/>
          </w:tcPr>
          <w:p w14:paraId="4F590E51" w14:textId="2CD8FCEF" w:rsidR="00634D7D" w:rsidRPr="00C53926" w:rsidRDefault="00634D7D" w:rsidP="0052634C">
            <w:pPr>
              <w:spacing w:line="276" w:lineRule="auto"/>
              <w:rPr>
                <w:rFonts w:cstheme="minorHAnsi"/>
                <w:iCs/>
              </w:rPr>
            </w:pPr>
            <w:r>
              <w:rPr>
                <w:rFonts w:ascii="Calibri" w:hAnsi="Calibri" w:cs="Calibri"/>
                <w:color w:val="000000"/>
              </w:rPr>
              <w:t>5</w:t>
            </w:r>
          </w:p>
        </w:tc>
        <w:tc>
          <w:tcPr>
            <w:tcW w:w="1012" w:type="dxa"/>
          </w:tcPr>
          <w:p w14:paraId="26870721" w14:textId="6B9E5842" w:rsidR="00634D7D" w:rsidRPr="00C53926" w:rsidRDefault="00634D7D" w:rsidP="0052634C">
            <w:pPr>
              <w:spacing w:line="276" w:lineRule="auto"/>
              <w:rPr>
                <w:rFonts w:cstheme="minorHAnsi"/>
                <w:iCs/>
              </w:rPr>
            </w:pPr>
            <w:r>
              <w:rPr>
                <w:rFonts w:cstheme="minorHAnsi"/>
                <w:iCs/>
              </w:rPr>
              <w:t>4</w:t>
            </w:r>
          </w:p>
        </w:tc>
        <w:tc>
          <w:tcPr>
            <w:tcW w:w="979" w:type="dxa"/>
          </w:tcPr>
          <w:p w14:paraId="25293E54" w14:textId="5BB19B84" w:rsidR="00634D7D" w:rsidRPr="00C53926" w:rsidRDefault="00634D7D" w:rsidP="0052634C">
            <w:pPr>
              <w:spacing w:line="276" w:lineRule="auto"/>
              <w:rPr>
                <w:rFonts w:cstheme="minorHAnsi"/>
                <w:iCs/>
              </w:rPr>
            </w:pPr>
            <w:r>
              <w:rPr>
                <w:rFonts w:cstheme="minorHAnsi"/>
                <w:iCs/>
              </w:rPr>
              <w:t>1</w:t>
            </w:r>
          </w:p>
        </w:tc>
        <w:tc>
          <w:tcPr>
            <w:tcW w:w="915" w:type="dxa"/>
          </w:tcPr>
          <w:p w14:paraId="3A48DEFA" w14:textId="5A41D750" w:rsidR="00634D7D" w:rsidRPr="00C53926" w:rsidRDefault="00634D7D" w:rsidP="0052634C">
            <w:pPr>
              <w:spacing w:line="276" w:lineRule="auto"/>
              <w:rPr>
                <w:rFonts w:cstheme="minorHAnsi"/>
                <w:iCs/>
              </w:rPr>
            </w:pPr>
            <w:r>
              <w:rPr>
                <w:rFonts w:cstheme="minorHAnsi"/>
                <w:iCs/>
              </w:rPr>
              <w:t>0</w:t>
            </w:r>
          </w:p>
        </w:tc>
        <w:tc>
          <w:tcPr>
            <w:tcW w:w="1004" w:type="dxa"/>
          </w:tcPr>
          <w:p w14:paraId="189EFB15" w14:textId="4DAF88DC" w:rsidR="00634D7D" w:rsidRPr="00C53926" w:rsidRDefault="00634D7D" w:rsidP="0052634C">
            <w:pPr>
              <w:spacing w:line="276" w:lineRule="auto"/>
              <w:rPr>
                <w:rFonts w:cstheme="minorHAnsi"/>
                <w:iCs/>
              </w:rPr>
            </w:pPr>
            <w:r>
              <w:rPr>
                <w:rFonts w:cstheme="minorHAnsi"/>
                <w:iCs/>
              </w:rPr>
              <w:t>0</w:t>
            </w:r>
          </w:p>
        </w:tc>
        <w:tc>
          <w:tcPr>
            <w:tcW w:w="842" w:type="dxa"/>
          </w:tcPr>
          <w:p w14:paraId="26131B70" w14:textId="055F6C6F" w:rsidR="00634D7D" w:rsidRPr="00C53926" w:rsidRDefault="00634D7D" w:rsidP="0052634C">
            <w:pPr>
              <w:spacing w:line="276" w:lineRule="auto"/>
              <w:rPr>
                <w:rFonts w:cstheme="minorHAnsi"/>
                <w:iCs/>
              </w:rPr>
            </w:pPr>
            <w:r>
              <w:rPr>
                <w:rFonts w:cstheme="minorHAnsi"/>
                <w:iCs/>
              </w:rPr>
              <w:t>0</w:t>
            </w:r>
          </w:p>
        </w:tc>
      </w:tr>
      <w:tr w:rsidR="00634D7D" w:rsidRPr="00C53926" w14:paraId="11A72CE7" w14:textId="77777777" w:rsidTr="3A8BAEDD">
        <w:tc>
          <w:tcPr>
            <w:tcW w:w="2331" w:type="dxa"/>
            <w:vMerge/>
          </w:tcPr>
          <w:p w14:paraId="7DDD90DC" w14:textId="77777777" w:rsidR="00634D7D" w:rsidRPr="00C53926" w:rsidRDefault="00634D7D" w:rsidP="0052634C">
            <w:pPr>
              <w:spacing w:line="276" w:lineRule="auto"/>
              <w:rPr>
                <w:rFonts w:cstheme="minorHAnsi"/>
                <w:iCs/>
              </w:rPr>
            </w:pPr>
          </w:p>
        </w:tc>
        <w:tc>
          <w:tcPr>
            <w:tcW w:w="1149" w:type="dxa"/>
          </w:tcPr>
          <w:p w14:paraId="380B5071" w14:textId="77777777" w:rsidR="00634D7D" w:rsidRPr="00C53926" w:rsidRDefault="00634D7D" w:rsidP="0052634C">
            <w:pPr>
              <w:spacing w:line="276" w:lineRule="auto"/>
              <w:rPr>
                <w:rFonts w:cstheme="minorHAnsi"/>
                <w:iCs/>
              </w:rPr>
            </w:pPr>
            <w:r w:rsidRPr="00C53926">
              <w:rPr>
                <w:rFonts w:cstheme="minorHAnsi"/>
                <w:iCs/>
              </w:rPr>
              <w:t>Secondary</w:t>
            </w:r>
          </w:p>
        </w:tc>
        <w:tc>
          <w:tcPr>
            <w:tcW w:w="784" w:type="dxa"/>
            <w:vAlign w:val="bottom"/>
          </w:tcPr>
          <w:p w14:paraId="2519D718" w14:textId="1B6C28A7" w:rsidR="00634D7D" w:rsidRPr="00C53926" w:rsidRDefault="00634D7D" w:rsidP="0052634C">
            <w:pPr>
              <w:spacing w:line="276" w:lineRule="auto"/>
              <w:rPr>
                <w:rFonts w:cstheme="minorHAnsi"/>
                <w:iCs/>
              </w:rPr>
            </w:pPr>
            <w:r>
              <w:rPr>
                <w:rFonts w:ascii="Calibri" w:hAnsi="Calibri" w:cs="Calibri"/>
                <w:color w:val="000000"/>
              </w:rPr>
              <w:t>9</w:t>
            </w:r>
          </w:p>
        </w:tc>
        <w:tc>
          <w:tcPr>
            <w:tcW w:w="1012" w:type="dxa"/>
          </w:tcPr>
          <w:p w14:paraId="6B5D779A" w14:textId="3AF99D4B" w:rsidR="00634D7D" w:rsidRPr="00C53926" w:rsidRDefault="00634D7D" w:rsidP="0052634C">
            <w:pPr>
              <w:spacing w:line="276" w:lineRule="auto"/>
              <w:rPr>
                <w:rFonts w:cstheme="minorHAnsi"/>
                <w:iCs/>
              </w:rPr>
            </w:pPr>
            <w:r>
              <w:rPr>
                <w:rFonts w:cstheme="minorHAnsi"/>
                <w:iCs/>
              </w:rPr>
              <w:t>5</w:t>
            </w:r>
          </w:p>
        </w:tc>
        <w:tc>
          <w:tcPr>
            <w:tcW w:w="979" w:type="dxa"/>
          </w:tcPr>
          <w:p w14:paraId="7BC23E83" w14:textId="35FDE597" w:rsidR="00634D7D" w:rsidRPr="00C53926" w:rsidRDefault="00634D7D" w:rsidP="0052634C">
            <w:pPr>
              <w:spacing w:line="276" w:lineRule="auto"/>
              <w:rPr>
                <w:rFonts w:cstheme="minorHAnsi"/>
                <w:iCs/>
              </w:rPr>
            </w:pPr>
            <w:r>
              <w:rPr>
                <w:rFonts w:cstheme="minorHAnsi"/>
                <w:iCs/>
              </w:rPr>
              <w:t>2</w:t>
            </w:r>
          </w:p>
        </w:tc>
        <w:tc>
          <w:tcPr>
            <w:tcW w:w="915" w:type="dxa"/>
          </w:tcPr>
          <w:p w14:paraId="65E51343" w14:textId="4C2AFAB7" w:rsidR="00634D7D" w:rsidRPr="00C53926" w:rsidRDefault="00634D7D" w:rsidP="0052634C">
            <w:pPr>
              <w:spacing w:line="276" w:lineRule="auto"/>
              <w:rPr>
                <w:rFonts w:cstheme="minorHAnsi"/>
                <w:iCs/>
              </w:rPr>
            </w:pPr>
            <w:r>
              <w:rPr>
                <w:rFonts w:cstheme="minorHAnsi"/>
                <w:iCs/>
              </w:rPr>
              <w:t>0</w:t>
            </w:r>
          </w:p>
        </w:tc>
        <w:tc>
          <w:tcPr>
            <w:tcW w:w="1004" w:type="dxa"/>
          </w:tcPr>
          <w:p w14:paraId="2020CBEE" w14:textId="65E66C21" w:rsidR="00634D7D" w:rsidRPr="00C53926" w:rsidRDefault="00634D7D" w:rsidP="0052634C">
            <w:pPr>
              <w:spacing w:line="276" w:lineRule="auto"/>
              <w:rPr>
                <w:rFonts w:cstheme="minorHAnsi"/>
                <w:iCs/>
              </w:rPr>
            </w:pPr>
            <w:r>
              <w:rPr>
                <w:rFonts w:cstheme="minorHAnsi"/>
                <w:iCs/>
              </w:rPr>
              <w:t>0</w:t>
            </w:r>
          </w:p>
        </w:tc>
        <w:tc>
          <w:tcPr>
            <w:tcW w:w="842" w:type="dxa"/>
          </w:tcPr>
          <w:p w14:paraId="253C3417" w14:textId="32D77BAA" w:rsidR="00634D7D" w:rsidRPr="00C53926" w:rsidRDefault="00634D7D" w:rsidP="0052634C">
            <w:pPr>
              <w:spacing w:line="276" w:lineRule="auto"/>
              <w:rPr>
                <w:rFonts w:cstheme="minorHAnsi"/>
                <w:iCs/>
              </w:rPr>
            </w:pPr>
            <w:r>
              <w:rPr>
                <w:rFonts w:cstheme="minorHAnsi"/>
                <w:iCs/>
              </w:rPr>
              <w:t>2</w:t>
            </w:r>
          </w:p>
        </w:tc>
      </w:tr>
      <w:tr w:rsidR="00634D7D" w:rsidRPr="00C53926" w14:paraId="6C723238" w14:textId="77777777" w:rsidTr="3A8BAEDD">
        <w:tc>
          <w:tcPr>
            <w:tcW w:w="2331" w:type="dxa"/>
            <w:vMerge w:val="restart"/>
          </w:tcPr>
          <w:p w14:paraId="79D1C147" w14:textId="0279FD69" w:rsidR="00634D7D" w:rsidRPr="00C53926" w:rsidRDefault="00634D7D" w:rsidP="0052634C">
            <w:pPr>
              <w:spacing w:line="276" w:lineRule="auto"/>
              <w:rPr>
                <w:rFonts w:cstheme="minorHAnsi"/>
                <w:iCs/>
              </w:rPr>
            </w:pPr>
            <w:r w:rsidRPr="00C53926">
              <w:rPr>
                <w:rFonts w:cstheme="minorHAnsi"/>
                <w:color w:val="000000"/>
              </w:rPr>
              <w:t>Q</w:t>
            </w:r>
            <w:r w:rsidR="00A24C93">
              <w:rPr>
                <w:rFonts w:cstheme="minorHAnsi"/>
                <w:color w:val="000000"/>
              </w:rPr>
              <w:t xml:space="preserve">uality </w:t>
            </w:r>
            <w:r w:rsidRPr="00C53926">
              <w:rPr>
                <w:rFonts w:cstheme="minorHAnsi"/>
                <w:color w:val="000000"/>
              </w:rPr>
              <w:t>o</w:t>
            </w:r>
            <w:r w:rsidR="00A24C93">
              <w:rPr>
                <w:rFonts w:cstheme="minorHAnsi"/>
                <w:color w:val="000000"/>
              </w:rPr>
              <w:t xml:space="preserve">f </w:t>
            </w:r>
            <w:r w:rsidRPr="00C53926">
              <w:rPr>
                <w:rFonts w:cstheme="minorHAnsi"/>
                <w:color w:val="000000"/>
              </w:rPr>
              <w:t>L</w:t>
            </w:r>
            <w:r w:rsidR="00A24C93">
              <w:rPr>
                <w:rFonts w:cstheme="minorHAnsi"/>
                <w:color w:val="000000"/>
              </w:rPr>
              <w:t>ife</w:t>
            </w:r>
          </w:p>
        </w:tc>
        <w:tc>
          <w:tcPr>
            <w:tcW w:w="1149" w:type="dxa"/>
          </w:tcPr>
          <w:p w14:paraId="7EF0CB68" w14:textId="77777777" w:rsidR="00634D7D" w:rsidRPr="00C53926" w:rsidRDefault="00634D7D" w:rsidP="0052634C">
            <w:pPr>
              <w:spacing w:line="276" w:lineRule="auto"/>
              <w:rPr>
                <w:rFonts w:cstheme="minorHAnsi"/>
                <w:iCs/>
              </w:rPr>
            </w:pPr>
            <w:r w:rsidRPr="00C53926">
              <w:rPr>
                <w:rFonts w:cstheme="minorHAnsi"/>
                <w:iCs/>
              </w:rPr>
              <w:t>Primary</w:t>
            </w:r>
          </w:p>
        </w:tc>
        <w:tc>
          <w:tcPr>
            <w:tcW w:w="784" w:type="dxa"/>
            <w:vAlign w:val="bottom"/>
          </w:tcPr>
          <w:p w14:paraId="76B8567B" w14:textId="1F60619E" w:rsidR="00634D7D" w:rsidRPr="00C53926" w:rsidRDefault="00634D7D" w:rsidP="0052634C">
            <w:pPr>
              <w:spacing w:line="276" w:lineRule="auto"/>
              <w:rPr>
                <w:rFonts w:cstheme="minorHAnsi"/>
                <w:iCs/>
              </w:rPr>
            </w:pPr>
            <w:r>
              <w:rPr>
                <w:rFonts w:ascii="Calibri" w:hAnsi="Calibri" w:cs="Calibri"/>
                <w:color w:val="000000"/>
              </w:rPr>
              <w:t>17</w:t>
            </w:r>
          </w:p>
        </w:tc>
        <w:tc>
          <w:tcPr>
            <w:tcW w:w="1012" w:type="dxa"/>
          </w:tcPr>
          <w:p w14:paraId="18DA96B6" w14:textId="65796E9D" w:rsidR="00634D7D" w:rsidRPr="00C53926" w:rsidRDefault="00634D7D" w:rsidP="0052634C">
            <w:pPr>
              <w:spacing w:line="276" w:lineRule="auto"/>
              <w:rPr>
                <w:rFonts w:cstheme="minorHAnsi"/>
                <w:iCs/>
              </w:rPr>
            </w:pPr>
            <w:r>
              <w:rPr>
                <w:rFonts w:cstheme="minorHAnsi"/>
                <w:iCs/>
              </w:rPr>
              <w:t>10</w:t>
            </w:r>
          </w:p>
        </w:tc>
        <w:tc>
          <w:tcPr>
            <w:tcW w:w="979" w:type="dxa"/>
          </w:tcPr>
          <w:p w14:paraId="14D4787F" w14:textId="4450198D" w:rsidR="00634D7D" w:rsidRPr="00C53926" w:rsidRDefault="00634D7D" w:rsidP="0052634C">
            <w:pPr>
              <w:spacing w:line="276" w:lineRule="auto"/>
              <w:rPr>
                <w:rFonts w:cstheme="minorHAnsi"/>
                <w:iCs/>
              </w:rPr>
            </w:pPr>
            <w:r>
              <w:rPr>
                <w:rFonts w:cstheme="minorHAnsi"/>
                <w:iCs/>
              </w:rPr>
              <w:t>3</w:t>
            </w:r>
          </w:p>
        </w:tc>
        <w:tc>
          <w:tcPr>
            <w:tcW w:w="915" w:type="dxa"/>
          </w:tcPr>
          <w:p w14:paraId="361F5257" w14:textId="2AEDF965" w:rsidR="00634D7D" w:rsidRPr="00C53926" w:rsidRDefault="00634D7D" w:rsidP="0052634C">
            <w:pPr>
              <w:spacing w:line="276" w:lineRule="auto"/>
              <w:rPr>
                <w:rFonts w:cstheme="minorHAnsi"/>
                <w:iCs/>
              </w:rPr>
            </w:pPr>
            <w:r>
              <w:rPr>
                <w:rFonts w:cstheme="minorHAnsi"/>
                <w:iCs/>
              </w:rPr>
              <w:t>4</w:t>
            </w:r>
          </w:p>
        </w:tc>
        <w:tc>
          <w:tcPr>
            <w:tcW w:w="1004" w:type="dxa"/>
          </w:tcPr>
          <w:p w14:paraId="6AA6A1E7" w14:textId="059A0835" w:rsidR="00634D7D" w:rsidRPr="00C53926" w:rsidRDefault="00634D7D" w:rsidP="0052634C">
            <w:pPr>
              <w:spacing w:line="276" w:lineRule="auto"/>
              <w:rPr>
                <w:rFonts w:cstheme="minorHAnsi"/>
                <w:iCs/>
              </w:rPr>
            </w:pPr>
            <w:r>
              <w:rPr>
                <w:rFonts w:cstheme="minorHAnsi"/>
                <w:iCs/>
              </w:rPr>
              <w:t>0</w:t>
            </w:r>
          </w:p>
        </w:tc>
        <w:tc>
          <w:tcPr>
            <w:tcW w:w="842" w:type="dxa"/>
          </w:tcPr>
          <w:p w14:paraId="159E1401" w14:textId="0FC583E1" w:rsidR="00634D7D" w:rsidRPr="00C53926" w:rsidRDefault="00634D7D" w:rsidP="0052634C">
            <w:pPr>
              <w:spacing w:line="276" w:lineRule="auto"/>
              <w:rPr>
                <w:rFonts w:cstheme="minorHAnsi"/>
                <w:iCs/>
              </w:rPr>
            </w:pPr>
            <w:r>
              <w:rPr>
                <w:rFonts w:cstheme="minorHAnsi"/>
                <w:iCs/>
              </w:rPr>
              <w:t>0</w:t>
            </w:r>
          </w:p>
        </w:tc>
      </w:tr>
      <w:tr w:rsidR="00634D7D" w:rsidRPr="00C53926" w14:paraId="16C8E9F9" w14:textId="77777777" w:rsidTr="3A8BAEDD">
        <w:tc>
          <w:tcPr>
            <w:tcW w:w="2331" w:type="dxa"/>
            <w:vMerge/>
          </w:tcPr>
          <w:p w14:paraId="73FD6F99" w14:textId="77777777" w:rsidR="00634D7D" w:rsidRPr="00C53926" w:rsidRDefault="00634D7D" w:rsidP="0052634C">
            <w:pPr>
              <w:spacing w:line="276" w:lineRule="auto"/>
              <w:rPr>
                <w:rFonts w:cstheme="minorHAnsi"/>
                <w:iCs/>
              </w:rPr>
            </w:pPr>
          </w:p>
        </w:tc>
        <w:tc>
          <w:tcPr>
            <w:tcW w:w="1149" w:type="dxa"/>
          </w:tcPr>
          <w:p w14:paraId="5CAF3817" w14:textId="77777777" w:rsidR="00634D7D" w:rsidRPr="00C53926" w:rsidRDefault="00634D7D" w:rsidP="0052634C">
            <w:pPr>
              <w:spacing w:line="276" w:lineRule="auto"/>
              <w:rPr>
                <w:rFonts w:cstheme="minorHAnsi"/>
                <w:iCs/>
              </w:rPr>
            </w:pPr>
            <w:r w:rsidRPr="00C53926">
              <w:rPr>
                <w:rFonts w:cstheme="minorHAnsi"/>
                <w:iCs/>
              </w:rPr>
              <w:t>Secondary</w:t>
            </w:r>
          </w:p>
        </w:tc>
        <w:tc>
          <w:tcPr>
            <w:tcW w:w="784" w:type="dxa"/>
            <w:vAlign w:val="bottom"/>
          </w:tcPr>
          <w:p w14:paraId="4907BFC5" w14:textId="31860202" w:rsidR="00634D7D" w:rsidRPr="00C53926" w:rsidRDefault="00B75C35" w:rsidP="0052634C">
            <w:pPr>
              <w:spacing w:line="276" w:lineRule="auto"/>
              <w:rPr>
                <w:rFonts w:cstheme="minorHAnsi"/>
                <w:iCs/>
              </w:rPr>
            </w:pPr>
            <w:r>
              <w:rPr>
                <w:rFonts w:ascii="Calibri" w:hAnsi="Calibri" w:cs="Calibri"/>
                <w:color w:val="000000"/>
              </w:rPr>
              <w:t>26</w:t>
            </w:r>
          </w:p>
        </w:tc>
        <w:tc>
          <w:tcPr>
            <w:tcW w:w="1012" w:type="dxa"/>
          </w:tcPr>
          <w:p w14:paraId="4954B43E" w14:textId="6DE66F31" w:rsidR="00634D7D" w:rsidRPr="00C53926" w:rsidRDefault="00B75C35" w:rsidP="0052634C">
            <w:pPr>
              <w:spacing w:line="276" w:lineRule="auto"/>
              <w:rPr>
                <w:rFonts w:cstheme="minorHAnsi"/>
                <w:iCs/>
              </w:rPr>
            </w:pPr>
            <w:r>
              <w:rPr>
                <w:rFonts w:cstheme="minorHAnsi"/>
                <w:iCs/>
              </w:rPr>
              <w:t>11</w:t>
            </w:r>
          </w:p>
        </w:tc>
        <w:tc>
          <w:tcPr>
            <w:tcW w:w="979" w:type="dxa"/>
          </w:tcPr>
          <w:p w14:paraId="519399E5" w14:textId="4DCBFA9E" w:rsidR="00634D7D" w:rsidRPr="00C53926" w:rsidRDefault="00B75C35" w:rsidP="0052634C">
            <w:pPr>
              <w:spacing w:line="276" w:lineRule="auto"/>
              <w:rPr>
                <w:rFonts w:cstheme="minorHAnsi"/>
                <w:iCs/>
              </w:rPr>
            </w:pPr>
            <w:r>
              <w:rPr>
                <w:rFonts w:cstheme="minorHAnsi"/>
                <w:iCs/>
              </w:rPr>
              <w:t>3</w:t>
            </w:r>
          </w:p>
        </w:tc>
        <w:tc>
          <w:tcPr>
            <w:tcW w:w="915" w:type="dxa"/>
          </w:tcPr>
          <w:p w14:paraId="2683CB32" w14:textId="1D41FA95" w:rsidR="00634D7D" w:rsidRPr="00C53926" w:rsidRDefault="00B75C35" w:rsidP="0052634C">
            <w:pPr>
              <w:spacing w:line="276" w:lineRule="auto"/>
              <w:rPr>
                <w:rFonts w:cstheme="minorHAnsi"/>
                <w:iCs/>
              </w:rPr>
            </w:pPr>
            <w:r>
              <w:rPr>
                <w:rFonts w:cstheme="minorHAnsi"/>
                <w:iCs/>
              </w:rPr>
              <w:t>7</w:t>
            </w:r>
          </w:p>
        </w:tc>
        <w:tc>
          <w:tcPr>
            <w:tcW w:w="1004" w:type="dxa"/>
          </w:tcPr>
          <w:p w14:paraId="2917114F" w14:textId="53CF0FC5" w:rsidR="00634D7D" w:rsidRPr="00C53926" w:rsidRDefault="00634D7D" w:rsidP="0052634C">
            <w:pPr>
              <w:spacing w:line="276" w:lineRule="auto"/>
              <w:rPr>
                <w:rFonts w:cstheme="minorHAnsi"/>
                <w:iCs/>
              </w:rPr>
            </w:pPr>
            <w:r>
              <w:rPr>
                <w:rFonts w:cstheme="minorHAnsi"/>
                <w:iCs/>
              </w:rPr>
              <w:t>2</w:t>
            </w:r>
          </w:p>
        </w:tc>
        <w:tc>
          <w:tcPr>
            <w:tcW w:w="842" w:type="dxa"/>
          </w:tcPr>
          <w:p w14:paraId="74FFDCDC" w14:textId="0FB00945" w:rsidR="00634D7D" w:rsidRPr="00C53926" w:rsidRDefault="00634D7D" w:rsidP="0052634C">
            <w:pPr>
              <w:spacing w:line="276" w:lineRule="auto"/>
              <w:rPr>
                <w:rFonts w:cstheme="minorHAnsi"/>
                <w:iCs/>
              </w:rPr>
            </w:pPr>
            <w:r>
              <w:rPr>
                <w:rFonts w:cstheme="minorHAnsi"/>
                <w:iCs/>
              </w:rPr>
              <w:t>3</w:t>
            </w:r>
          </w:p>
        </w:tc>
      </w:tr>
      <w:tr w:rsidR="00634D7D" w:rsidRPr="00C53926" w14:paraId="7A73D9F6" w14:textId="77777777" w:rsidTr="3A8BAEDD">
        <w:tc>
          <w:tcPr>
            <w:tcW w:w="2331" w:type="dxa"/>
            <w:vMerge w:val="restart"/>
          </w:tcPr>
          <w:p w14:paraId="2E895555" w14:textId="4512CA22" w:rsidR="00634D7D" w:rsidRPr="00C53926" w:rsidRDefault="00634D7D" w:rsidP="0052634C">
            <w:pPr>
              <w:spacing w:line="276" w:lineRule="auto"/>
              <w:rPr>
                <w:rFonts w:cstheme="minorHAnsi"/>
                <w:iCs/>
              </w:rPr>
            </w:pPr>
            <w:r w:rsidRPr="00C53926">
              <w:rPr>
                <w:rFonts w:cstheme="minorHAnsi"/>
                <w:color w:val="000000"/>
              </w:rPr>
              <w:t>R</w:t>
            </w:r>
            <w:r w:rsidR="00A24C93">
              <w:rPr>
                <w:rFonts w:cstheme="minorHAnsi"/>
                <w:color w:val="000000"/>
              </w:rPr>
              <w:t xml:space="preserve">ange of </w:t>
            </w:r>
            <w:r w:rsidRPr="00C53926">
              <w:rPr>
                <w:rFonts w:cstheme="minorHAnsi"/>
                <w:color w:val="000000"/>
              </w:rPr>
              <w:t>M</w:t>
            </w:r>
            <w:r w:rsidR="00182349">
              <w:rPr>
                <w:rFonts w:cstheme="minorHAnsi"/>
                <w:color w:val="000000"/>
              </w:rPr>
              <w:t>otion</w:t>
            </w:r>
          </w:p>
        </w:tc>
        <w:tc>
          <w:tcPr>
            <w:tcW w:w="1149" w:type="dxa"/>
          </w:tcPr>
          <w:p w14:paraId="659B7B2A" w14:textId="77777777" w:rsidR="00634D7D" w:rsidRPr="00C53926" w:rsidRDefault="00634D7D" w:rsidP="0052634C">
            <w:pPr>
              <w:spacing w:line="276" w:lineRule="auto"/>
              <w:rPr>
                <w:rFonts w:cstheme="minorHAnsi"/>
                <w:iCs/>
              </w:rPr>
            </w:pPr>
            <w:r w:rsidRPr="00C53926">
              <w:rPr>
                <w:rFonts w:cstheme="minorHAnsi"/>
                <w:iCs/>
              </w:rPr>
              <w:t>Primary</w:t>
            </w:r>
          </w:p>
        </w:tc>
        <w:tc>
          <w:tcPr>
            <w:tcW w:w="784" w:type="dxa"/>
            <w:vAlign w:val="bottom"/>
          </w:tcPr>
          <w:p w14:paraId="18D0D992" w14:textId="075E8702" w:rsidR="00634D7D" w:rsidRPr="00C53926" w:rsidRDefault="00634D7D" w:rsidP="0052634C">
            <w:pPr>
              <w:spacing w:line="276" w:lineRule="auto"/>
              <w:rPr>
                <w:rFonts w:cstheme="minorHAnsi"/>
                <w:iCs/>
              </w:rPr>
            </w:pPr>
            <w:r>
              <w:rPr>
                <w:rFonts w:ascii="Calibri" w:hAnsi="Calibri" w:cs="Calibri"/>
                <w:color w:val="000000"/>
              </w:rPr>
              <w:t>56</w:t>
            </w:r>
          </w:p>
        </w:tc>
        <w:tc>
          <w:tcPr>
            <w:tcW w:w="1012" w:type="dxa"/>
          </w:tcPr>
          <w:p w14:paraId="1F376B51" w14:textId="43BC6F54" w:rsidR="00634D7D" w:rsidRPr="00C53926" w:rsidRDefault="00634D7D" w:rsidP="0052634C">
            <w:pPr>
              <w:spacing w:line="276" w:lineRule="auto"/>
              <w:rPr>
                <w:rFonts w:cstheme="minorHAnsi"/>
                <w:iCs/>
              </w:rPr>
            </w:pPr>
            <w:r>
              <w:rPr>
                <w:rFonts w:cstheme="minorHAnsi"/>
                <w:iCs/>
              </w:rPr>
              <w:t>44</w:t>
            </w:r>
          </w:p>
        </w:tc>
        <w:tc>
          <w:tcPr>
            <w:tcW w:w="979" w:type="dxa"/>
          </w:tcPr>
          <w:p w14:paraId="2C1CBB86" w14:textId="64F80477" w:rsidR="00634D7D" w:rsidRPr="00C53926" w:rsidRDefault="00634D7D" w:rsidP="0052634C">
            <w:pPr>
              <w:spacing w:line="276" w:lineRule="auto"/>
              <w:rPr>
                <w:rFonts w:cstheme="minorHAnsi"/>
                <w:iCs/>
              </w:rPr>
            </w:pPr>
            <w:r>
              <w:rPr>
                <w:rFonts w:cstheme="minorHAnsi"/>
                <w:iCs/>
              </w:rPr>
              <w:t>3</w:t>
            </w:r>
          </w:p>
        </w:tc>
        <w:tc>
          <w:tcPr>
            <w:tcW w:w="915" w:type="dxa"/>
          </w:tcPr>
          <w:p w14:paraId="6552C6E3" w14:textId="1103C164" w:rsidR="00634D7D" w:rsidRPr="00C53926" w:rsidRDefault="00634D7D" w:rsidP="0052634C">
            <w:pPr>
              <w:spacing w:line="276" w:lineRule="auto"/>
              <w:rPr>
                <w:rFonts w:cstheme="minorHAnsi"/>
                <w:iCs/>
              </w:rPr>
            </w:pPr>
            <w:r>
              <w:rPr>
                <w:rFonts w:cstheme="minorHAnsi"/>
                <w:iCs/>
              </w:rPr>
              <w:t>4</w:t>
            </w:r>
          </w:p>
        </w:tc>
        <w:tc>
          <w:tcPr>
            <w:tcW w:w="1004" w:type="dxa"/>
          </w:tcPr>
          <w:p w14:paraId="33A4F00C" w14:textId="75D02703" w:rsidR="00634D7D" w:rsidRPr="00C53926" w:rsidRDefault="00634D7D" w:rsidP="0052634C">
            <w:pPr>
              <w:spacing w:line="276" w:lineRule="auto"/>
              <w:rPr>
                <w:rFonts w:cstheme="minorHAnsi"/>
                <w:iCs/>
              </w:rPr>
            </w:pPr>
            <w:r>
              <w:rPr>
                <w:rFonts w:cstheme="minorHAnsi"/>
                <w:iCs/>
              </w:rPr>
              <w:t>1</w:t>
            </w:r>
          </w:p>
        </w:tc>
        <w:tc>
          <w:tcPr>
            <w:tcW w:w="842" w:type="dxa"/>
          </w:tcPr>
          <w:p w14:paraId="5999C051" w14:textId="2761018B" w:rsidR="00634D7D" w:rsidRPr="00C53926" w:rsidRDefault="00634D7D" w:rsidP="0052634C">
            <w:pPr>
              <w:spacing w:line="276" w:lineRule="auto"/>
              <w:rPr>
                <w:rFonts w:cstheme="minorHAnsi"/>
                <w:iCs/>
              </w:rPr>
            </w:pPr>
            <w:r>
              <w:rPr>
                <w:rFonts w:cstheme="minorHAnsi"/>
                <w:iCs/>
              </w:rPr>
              <w:t>4</w:t>
            </w:r>
          </w:p>
        </w:tc>
      </w:tr>
      <w:tr w:rsidR="00634D7D" w:rsidRPr="00C53926" w14:paraId="491B1FC6" w14:textId="77777777" w:rsidTr="3A8BAEDD">
        <w:tc>
          <w:tcPr>
            <w:tcW w:w="2331" w:type="dxa"/>
            <w:vMerge/>
          </w:tcPr>
          <w:p w14:paraId="497D99D8" w14:textId="77777777" w:rsidR="00634D7D" w:rsidRPr="00C53926" w:rsidRDefault="00634D7D" w:rsidP="0052634C">
            <w:pPr>
              <w:spacing w:line="276" w:lineRule="auto"/>
              <w:rPr>
                <w:rFonts w:cstheme="minorHAnsi"/>
                <w:iCs/>
              </w:rPr>
            </w:pPr>
          </w:p>
        </w:tc>
        <w:tc>
          <w:tcPr>
            <w:tcW w:w="1149" w:type="dxa"/>
          </w:tcPr>
          <w:p w14:paraId="7283C776" w14:textId="77777777" w:rsidR="00634D7D" w:rsidRPr="00C53926" w:rsidRDefault="00634D7D" w:rsidP="0052634C">
            <w:pPr>
              <w:spacing w:line="276" w:lineRule="auto"/>
              <w:rPr>
                <w:rFonts w:cstheme="minorHAnsi"/>
                <w:iCs/>
              </w:rPr>
            </w:pPr>
            <w:r w:rsidRPr="00C53926">
              <w:rPr>
                <w:rFonts w:cstheme="minorHAnsi"/>
                <w:iCs/>
              </w:rPr>
              <w:t>Secondary</w:t>
            </w:r>
          </w:p>
        </w:tc>
        <w:tc>
          <w:tcPr>
            <w:tcW w:w="784" w:type="dxa"/>
            <w:vAlign w:val="bottom"/>
          </w:tcPr>
          <w:p w14:paraId="4487EB75" w14:textId="506E037C" w:rsidR="00634D7D" w:rsidRPr="00C53926" w:rsidRDefault="00634D7D" w:rsidP="0052634C">
            <w:pPr>
              <w:spacing w:line="276" w:lineRule="auto"/>
              <w:rPr>
                <w:rFonts w:cstheme="minorHAnsi"/>
                <w:iCs/>
              </w:rPr>
            </w:pPr>
            <w:r>
              <w:rPr>
                <w:rFonts w:ascii="Calibri" w:hAnsi="Calibri" w:cs="Calibri"/>
                <w:color w:val="000000"/>
              </w:rPr>
              <w:t>18</w:t>
            </w:r>
          </w:p>
        </w:tc>
        <w:tc>
          <w:tcPr>
            <w:tcW w:w="1012" w:type="dxa"/>
          </w:tcPr>
          <w:p w14:paraId="2D60CF6E" w14:textId="732A2098" w:rsidR="00634D7D" w:rsidRPr="00C53926" w:rsidRDefault="00634D7D" w:rsidP="0052634C">
            <w:pPr>
              <w:spacing w:line="276" w:lineRule="auto"/>
              <w:rPr>
                <w:rFonts w:cstheme="minorHAnsi"/>
                <w:iCs/>
              </w:rPr>
            </w:pPr>
            <w:r>
              <w:rPr>
                <w:rFonts w:cstheme="minorHAnsi"/>
                <w:iCs/>
              </w:rPr>
              <w:t>14</w:t>
            </w:r>
          </w:p>
        </w:tc>
        <w:tc>
          <w:tcPr>
            <w:tcW w:w="979" w:type="dxa"/>
          </w:tcPr>
          <w:p w14:paraId="76028653" w14:textId="7AF86F12" w:rsidR="00634D7D" w:rsidRPr="00C53926" w:rsidRDefault="00634D7D" w:rsidP="0052634C">
            <w:pPr>
              <w:spacing w:line="276" w:lineRule="auto"/>
              <w:rPr>
                <w:rFonts w:cstheme="minorHAnsi"/>
                <w:iCs/>
              </w:rPr>
            </w:pPr>
            <w:r>
              <w:rPr>
                <w:rFonts w:cstheme="minorHAnsi"/>
                <w:iCs/>
              </w:rPr>
              <w:t>3</w:t>
            </w:r>
          </w:p>
        </w:tc>
        <w:tc>
          <w:tcPr>
            <w:tcW w:w="915" w:type="dxa"/>
          </w:tcPr>
          <w:p w14:paraId="59E81669" w14:textId="53CAE862" w:rsidR="00634D7D" w:rsidRPr="00C53926" w:rsidRDefault="00634D7D" w:rsidP="0052634C">
            <w:pPr>
              <w:spacing w:line="276" w:lineRule="auto"/>
              <w:rPr>
                <w:rFonts w:cstheme="minorHAnsi"/>
                <w:iCs/>
              </w:rPr>
            </w:pPr>
            <w:r>
              <w:rPr>
                <w:rFonts w:cstheme="minorHAnsi"/>
                <w:iCs/>
              </w:rPr>
              <w:t>1</w:t>
            </w:r>
          </w:p>
        </w:tc>
        <w:tc>
          <w:tcPr>
            <w:tcW w:w="1004" w:type="dxa"/>
          </w:tcPr>
          <w:p w14:paraId="37B0A884" w14:textId="78AB383B" w:rsidR="00634D7D" w:rsidRPr="00C53926" w:rsidRDefault="00634D7D" w:rsidP="0052634C">
            <w:pPr>
              <w:spacing w:line="276" w:lineRule="auto"/>
              <w:rPr>
                <w:rFonts w:cstheme="minorHAnsi"/>
                <w:iCs/>
              </w:rPr>
            </w:pPr>
            <w:r>
              <w:rPr>
                <w:rFonts w:cstheme="minorHAnsi"/>
                <w:iCs/>
              </w:rPr>
              <w:t>0</w:t>
            </w:r>
          </w:p>
        </w:tc>
        <w:tc>
          <w:tcPr>
            <w:tcW w:w="842" w:type="dxa"/>
          </w:tcPr>
          <w:p w14:paraId="0F3D98C9" w14:textId="1C47B2C9" w:rsidR="00634D7D" w:rsidRPr="00C53926" w:rsidRDefault="00634D7D" w:rsidP="0052634C">
            <w:pPr>
              <w:spacing w:line="276" w:lineRule="auto"/>
              <w:rPr>
                <w:rFonts w:cstheme="minorHAnsi"/>
                <w:iCs/>
              </w:rPr>
            </w:pPr>
            <w:r>
              <w:rPr>
                <w:rFonts w:cstheme="minorHAnsi"/>
                <w:iCs/>
              </w:rPr>
              <w:t>0</w:t>
            </w:r>
          </w:p>
        </w:tc>
      </w:tr>
      <w:tr w:rsidR="00634D7D" w:rsidRPr="00C53926" w14:paraId="43CCA14B" w14:textId="77777777" w:rsidTr="3A8BAEDD">
        <w:tc>
          <w:tcPr>
            <w:tcW w:w="2331" w:type="dxa"/>
            <w:vMerge w:val="restart"/>
          </w:tcPr>
          <w:p w14:paraId="273DA1AB" w14:textId="1309CC24" w:rsidR="00634D7D" w:rsidRPr="00C53926" w:rsidRDefault="00634D7D" w:rsidP="0052634C">
            <w:pPr>
              <w:spacing w:line="276" w:lineRule="auto"/>
              <w:rPr>
                <w:rFonts w:cstheme="minorHAnsi"/>
                <w:iCs/>
              </w:rPr>
            </w:pPr>
            <w:r w:rsidRPr="00C53926">
              <w:rPr>
                <w:rFonts w:cstheme="minorHAnsi"/>
                <w:color w:val="000000"/>
              </w:rPr>
              <w:t>Sensory modality specific pain</w:t>
            </w:r>
          </w:p>
        </w:tc>
        <w:tc>
          <w:tcPr>
            <w:tcW w:w="1149" w:type="dxa"/>
          </w:tcPr>
          <w:p w14:paraId="026FE62E" w14:textId="77777777" w:rsidR="00634D7D" w:rsidRPr="00C53926" w:rsidRDefault="00634D7D" w:rsidP="0052634C">
            <w:pPr>
              <w:spacing w:line="276" w:lineRule="auto"/>
              <w:rPr>
                <w:rFonts w:cstheme="minorHAnsi"/>
                <w:iCs/>
              </w:rPr>
            </w:pPr>
            <w:r w:rsidRPr="00C53926">
              <w:rPr>
                <w:rFonts w:cstheme="minorHAnsi"/>
                <w:iCs/>
              </w:rPr>
              <w:t>Primary</w:t>
            </w:r>
          </w:p>
        </w:tc>
        <w:tc>
          <w:tcPr>
            <w:tcW w:w="784" w:type="dxa"/>
            <w:vAlign w:val="bottom"/>
          </w:tcPr>
          <w:p w14:paraId="19DE2A03" w14:textId="278888E3" w:rsidR="00634D7D" w:rsidRPr="00C53926" w:rsidRDefault="00634D7D" w:rsidP="0052634C">
            <w:pPr>
              <w:spacing w:line="276" w:lineRule="auto"/>
              <w:rPr>
                <w:rFonts w:cstheme="minorHAnsi"/>
                <w:iCs/>
              </w:rPr>
            </w:pPr>
            <w:r>
              <w:rPr>
                <w:rFonts w:ascii="Calibri" w:hAnsi="Calibri" w:cs="Calibri"/>
                <w:color w:val="000000"/>
              </w:rPr>
              <w:t>11</w:t>
            </w:r>
          </w:p>
        </w:tc>
        <w:tc>
          <w:tcPr>
            <w:tcW w:w="1012" w:type="dxa"/>
          </w:tcPr>
          <w:p w14:paraId="7AFE6A83" w14:textId="16FF11CC" w:rsidR="00634D7D" w:rsidRPr="00C53926" w:rsidRDefault="00634D7D" w:rsidP="0052634C">
            <w:pPr>
              <w:spacing w:line="276" w:lineRule="auto"/>
              <w:rPr>
                <w:rFonts w:cstheme="minorHAnsi"/>
                <w:iCs/>
              </w:rPr>
            </w:pPr>
            <w:r>
              <w:rPr>
                <w:rFonts w:cstheme="minorHAnsi"/>
                <w:iCs/>
              </w:rPr>
              <w:t>3</w:t>
            </w:r>
          </w:p>
        </w:tc>
        <w:tc>
          <w:tcPr>
            <w:tcW w:w="979" w:type="dxa"/>
          </w:tcPr>
          <w:p w14:paraId="0D4927FE" w14:textId="62EC438B" w:rsidR="00634D7D" w:rsidRPr="00C53926" w:rsidRDefault="00634D7D" w:rsidP="0052634C">
            <w:pPr>
              <w:spacing w:line="276" w:lineRule="auto"/>
              <w:rPr>
                <w:rFonts w:cstheme="minorHAnsi"/>
                <w:iCs/>
              </w:rPr>
            </w:pPr>
            <w:r>
              <w:rPr>
                <w:rFonts w:cstheme="minorHAnsi"/>
                <w:iCs/>
              </w:rPr>
              <w:t>3</w:t>
            </w:r>
          </w:p>
        </w:tc>
        <w:tc>
          <w:tcPr>
            <w:tcW w:w="915" w:type="dxa"/>
          </w:tcPr>
          <w:p w14:paraId="4A8FED40" w14:textId="333EAE81" w:rsidR="00634D7D" w:rsidRPr="00C53926" w:rsidRDefault="00634D7D" w:rsidP="0052634C">
            <w:pPr>
              <w:spacing w:line="276" w:lineRule="auto"/>
              <w:rPr>
                <w:rFonts w:cstheme="minorHAnsi"/>
                <w:iCs/>
              </w:rPr>
            </w:pPr>
            <w:r>
              <w:rPr>
                <w:rFonts w:cstheme="minorHAnsi"/>
                <w:iCs/>
              </w:rPr>
              <w:t>4</w:t>
            </w:r>
          </w:p>
        </w:tc>
        <w:tc>
          <w:tcPr>
            <w:tcW w:w="1004" w:type="dxa"/>
          </w:tcPr>
          <w:p w14:paraId="0E8D9003" w14:textId="586EAC23" w:rsidR="00634D7D" w:rsidRPr="00C53926" w:rsidRDefault="00634D7D" w:rsidP="0052634C">
            <w:pPr>
              <w:spacing w:line="276" w:lineRule="auto"/>
              <w:rPr>
                <w:rFonts w:cstheme="minorHAnsi"/>
                <w:iCs/>
              </w:rPr>
            </w:pPr>
            <w:r>
              <w:rPr>
                <w:rFonts w:cstheme="minorHAnsi"/>
                <w:iCs/>
              </w:rPr>
              <w:t>1</w:t>
            </w:r>
          </w:p>
        </w:tc>
        <w:tc>
          <w:tcPr>
            <w:tcW w:w="842" w:type="dxa"/>
          </w:tcPr>
          <w:p w14:paraId="67DA7BCF" w14:textId="7CF12E39" w:rsidR="00634D7D" w:rsidRPr="00C53926" w:rsidRDefault="00634D7D" w:rsidP="0052634C">
            <w:pPr>
              <w:spacing w:line="276" w:lineRule="auto"/>
              <w:rPr>
                <w:rFonts w:cstheme="minorHAnsi"/>
                <w:iCs/>
              </w:rPr>
            </w:pPr>
            <w:r>
              <w:rPr>
                <w:rFonts w:cstheme="minorHAnsi"/>
                <w:iCs/>
              </w:rPr>
              <w:t>0</w:t>
            </w:r>
          </w:p>
        </w:tc>
      </w:tr>
      <w:tr w:rsidR="00634D7D" w:rsidRPr="00C53926" w14:paraId="615228A5" w14:textId="77777777" w:rsidTr="3A8BAEDD">
        <w:tc>
          <w:tcPr>
            <w:tcW w:w="2331" w:type="dxa"/>
            <w:vMerge/>
          </w:tcPr>
          <w:p w14:paraId="1C54A612" w14:textId="77777777" w:rsidR="00634D7D" w:rsidRPr="00C53926" w:rsidRDefault="00634D7D" w:rsidP="0052634C">
            <w:pPr>
              <w:spacing w:line="276" w:lineRule="auto"/>
              <w:rPr>
                <w:rFonts w:cstheme="minorHAnsi"/>
                <w:iCs/>
              </w:rPr>
            </w:pPr>
          </w:p>
        </w:tc>
        <w:tc>
          <w:tcPr>
            <w:tcW w:w="1149" w:type="dxa"/>
          </w:tcPr>
          <w:p w14:paraId="7673C29F" w14:textId="77777777" w:rsidR="00634D7D" w:rsidRPr="00C53926" w:rsidRDefault="00634D7D" w:rsidP="0052634C">
            <w:pPr>
              <w:spacing w:line="276" w:lineRule="auto"/>
              <w:rPr>
                <w:rFonts w:cstheme="minorHAnsi"/>
                <w:iCs/>
              </w:rPr>
            </w:pPr>
            <w:r w:rsidRPr="00C53926">
              <w:rPr>
                <w:rFonts w:cstheme="minorHAnsi"/>
                <w:iCs/>
              </w:rPr>
              <w:t>Secondary</w:t>
            </w:r>
          </w:p>
        </w:tc>
        <w:tc>
          <w:tcPr>
            <w:tcW w:w="784" w:type="dxa"/>
            <w:vAlign w:val="bottom"/>
          </w:tcPr>
          <w:p w14:paraId="51FE55E8" w14:textId="3BF821F7" w:rsidR="00634D7D" w:rsidRPr="00C53926" w:rsidRDefault="00634D7D" w:rsidP="0052634C">
            <w:pPr>
              <w:spacing w:line="276" w:lineRule="auto"/>
              <w:rPr>
                <w:rFonts w:cstheme="minorHAnsi"/>
                <w:iCs/>
              </w:rPr>
            </w:pPr>
            <w:r>
              <w:rPr>
                <w:rFonts w:ascii="Calibri" w:hAnsi="Calibri" w:cs="Calibri"/>
                <w:color w:val="000000"/>
              </w:rPr>
              <w:t>6</w:t>
            </w:r>
          </w:p>
        </w:tc>
        <w:tc>
          <w:tcPr>
            <w:tcW w:w="1012" w:type="dxa"/>
          </w:tcPr>
          <w:p w14:paraId="253280C5" w14:textId="1375121A" w:rsidR="00634D7D" w:rsidRPr="00C53926" w:rsidRDefault="00634D7D" w:rsidP="0052634C">
            <w:pPr>
              <w:spacing w:line="276" w:lineRule="auto"/>
              <w:rPr>
                <w:rFonts w:cstheme="minorHAnsi"/>
                <w:iCs/>
              </w:rPr>
            </w:pPr>
            <w:r>
              <w:rPr>
                <w:rFonts w:cstheme="minorHAnsi"/>
                <w:iCs/>
              </w:rPr>
              <w:t>1</w:t>
            </w:r>
          </w:p>
        </w:tc>
        <w:tc>
          <w:tcPr>
            <w:tcW w:w="979" w:type="dxa"/>
          </w:tcPr>
          <w:p w14:paraId="1D82D717" w14:textId="1D1A0D64" w:rsidR="00634D7D" w:rsidRPr="00C53926" w:rsidRDefault="00634D7D" w:rsidP="0052634C">
            <w:pPr>
              <w:spacing w:line="276" w:lineRule="auto"/>
              <w:rPr>
                <w:rFonts w:cstheme="minorHAnsi"/>
                <w:iCs/>
              </w:rPr>
            </w:pPr>
            <w:r>
              <w:rPr>
                <w:rFonts w:cstheme="minorHAnsi"/>
                <w:iCs/>
              </w:rPr>
              <w:t>1</w:t>
            </w:r>
          </w:p>
        </w:tc>
        <w:tc>
          <w:tcPr>
            <w:tcW w:w="915" w:type="dxa"/>
          </w:tcPr>
          <w:p w14:paraId="3F8258CF" w14:textId="2A41E141" w:rsidR="00634D7D" w:rsidRPr="00C53926" w:rsidRDefault="00634D7D" w:rsidP="0052634C">
            <w:pPr>
              <w:spacing w:line="276" w:lineRule="auto"/>
              <w:rPr>
                <w:rFonts w:cstheme="minorHAnsi"/>
                <w:iCs/>
              </w:rPr>
            </w:pPr>
            <w:r>
              <w:rPr>
                <w:rFonts w:cstheme="minorHAnsi"/>
                <w:iCs/>
              </w:rPr>
              <w:t>4</w:t>
            </w:r>
          </w:p>
        </w:tc>
        <w:tc>
          <w:tcPr>
            <w:tcW w:w="1004" w:type="dxa"/>
          </w:tcPr>
          <w:p w14:paraId="0695D3AC" w14:textId="09257C32" w:rsidR="00634D7D" w:rsidRPr="00C53926" w:rsidRDefault="00634D7D" w:rsidP="0052634C">
            <w:pPr>
              <w:spacing w:line="276" w:lineRule="auto"/>
              <w:rPr>
                <w:rFonts w:cstheme="minorHAnsi"/>
                <w:iCs/>
              </w:rPr>
            </w:pPr>
            <w:r>
              <w:rPr>
                <w:rFonts w:cstheme="minorHAnsi"/>
                <w:iCs/>
              </w:rPr>
              <w:t>0</w:t>
            </w:r>
          </w:p>
        </w:tc>
        <w:tc>
          <w:tcPr>
            <w:tcW w:w="842" w:type="dxa"/>
          </w:tcPr>
          <w:p w14:paraId="3CE61220" w14:textId="4C6C0757" w:rsidR="00634D7D" w:rsidRPr="00C53926" w:rsidRDefault="00634D7D" w:rsidP="0052634C">
            <w:pPr>
              <w:spacing w:line="276" w:lineRule="auto"/>
              <w:rPr>
                <w:rFonts w:cstheme="minorHAnsi"/>
                <w:iCs/>
              </w:rPr>
            </w:pPr>
            <w:r>
              <w:rPr>
                <w:rFonts w:cstheme="minorHAnsi"/>
                <w:iCs/>
              </w:rPr>
              <w:t>0</w:t>
            </w:r>
          </w:p>
        </w:tc>
      </w:tr>
      <w:tr w:rsidR="00634D7D" w:rsidRPr="00C53926" w14:paraId="20B39137" w14:textId="77777777" w:rsidTr="3A8BAEDD">
        <w:tc>
          <w:tcPr>
            <w:tcW w:w="2331" w:type="dxa"/>
            <w:vMerge w:val="restart"/>
          </w:tcPr>
          <w:p w14:paraId="531679A2" w14:textId="2AEBFC9D" w:rsidR="00634D7D" w:rsidRPr="00C53926" w:rsidRDefault="00634D7D" w:rsidP="0052634C">
            <w:pPr>
              <w:spacing w:line="276" w:lineRule="auto"/>
              <w:rPr>
                <w:rFonts w:cstheme="minorHAnsi"/>
                <w:iCs/>
              </w:rPr>
            </w:pPr>
            <w:r w:rsidRPr="00C53926">
              <w:rPr>
                <w:rFonts w:cstheme="minorHAnsi"/>
                <w:color w:val="000000"/>
              </w:rPr>
              <w:t>Structure</w:t>
            </w:r>
          </w:p>
        </w:tc>
        <w:tc>
          <w:tcPr>
            <w:tcW w:w="1149" w:type="dxa"/>
          </w:tcPr>
          <w:p w14:paraId="20452B92" w14:textId="77777777" w:rsidR="00634D7D" w:rsidRPr="00C53926" w:rsidRDefault="00634D7D" w:rsidP="0052634C">
            <w:pPr>
              <w:spacing w:line="276" w:lineRule="auto"/>
              <w:rPr>
                <w:rFonts w:cstheme="minorHAnsi"/>
                <w:iCs/>
              </w:rPr>
            </w:pPr>
            <w:r w:rsidRPr="00C53926">
              <w:rPr>
                <w:rFonts w:cstheme="minorHAnsi"/>
                <w:iCs/>
              </w:rPr>
              <w:t>Primary</w:t>
            </w:r>
          </w:p>
        </w:tc>
        <w:tc>
          <w:tcPr>
            <w:tcW w:w="784" w:type="dxa"/>
            <w:vAlign w:val="bottom"/>
          </w:tcPr>
          <w:p w14:paraId="18A55336" w14:textId="571E8765" w:rsidR="00634D7D" w:rsidRPr="00C53926" w:rsidRDefault="00B75C35" w:rsidP="0052634C">
            <w:pPr>
              <w:spacing w:line="276" w:lineRule="auto"/>
              <w:rPr>
                <w:rFonts w:cstheme="minorHAnsi"/>
                <w:iCs/>
              </w:rPr>
            </w:pPr>
            <w:r>
              <w:rPr>
                <w:rFonts w:ascii="Calibri" w:hAnsi="Calibri" w:cs="Calibri"/>
                <w:color w:val="000000"/>
              </w:rPr>
              <w:t>56</w:t>
            </w:r>
          </w:p>
        </w:tc>
        <w:tc>
          <w:tcPr>
            <w:tcW w:w="1012" w:type="dxa"/>
          </w:tcPr>
          <w:p w14:paraId="197609EC" w14:textId="72DD16C2" w:rsidR="00634D7D" w:rsidRPr="00C53926" w:rsidRDefault="00634D7D" w:rsidP="0052634C">
            <w:pPr>
              <w:spacing w:line="276" w:lineRule="auto"/>
              <w:rPr>
                <w:rFonts w:cstheme="minorHAnsi"/>
                <w:iCs/>
              </w:rPr>
            </w:pPr>
            <w:r>
              <w:rPr>
                <w:rFonts w:cstheme="minorHAnsi"/>
                <w:iCs/>
              </w:rPr>
              <w:t>9</w:t>
            </w:r>
          </w:p>
        </w:tc>
        <w:tc>
          <w:tcPr>
            <w:tcW w:w="979" w:type="dxa"/>
          </w:tcPr>
          <w:p w14:paraId="60676B43" w14:textId="337AC529" w:rsidR="00634D7D" w:rsidRPr="00C53926" w:rsidRDefault="00B75C35" w:rsidP="0052634C">
            <w:pPr>
              <w:spacing w:line="276" w:lineRule="auto"/>
              <w:rPr>
                <w:rFonts w:cstheme="minorHAnsi"/>
                <w:iCs/>
              </w:rPr>
            </w:pPr>
            <w:r>
              <w:rPr>
                <w:rFonts w:cstheme="minorHAnsi"/>
                <w:iCs/>
              </w:rPr>
              <w:t>32</w:t>
            </w:r>
          </w:p>
        </w:tc>
        <w:tc>
          <w:tcPr>
            <w:tcW w:w="915" w:type="dxa"/>
          </w:tcPr>
          <w:p w14:paraId="7A8AE2F2" w14:textId="2EF77A03" w:rsidR="00634D7D" w:rsidRPr="00C53926" w:rsidRDefault="00634D7D" w:rsidP="0052634C">
            <w:pPr>
              <w:spacing w:line="276" w:lineRule="auto"/>
              <w:rPr>
                <w:rFonts w:cstheme="minorHAnsi"/>
                <w:iCs/>
              </w:rPr>
            </w:pPr>
            <w:r>
              <w:rPr>
                <w:rFonts w:cstheme="minorHAnsi"/>
                <w:iCs/>
              </w:rPr>
              <w:t>4</w:t>
            </w:r>
          </w:p>
        </w:tc>
        <w:tc>
          <w:tcPr>
            <w:tcW w:w="1004" w:type="dxa"/>
          </w:tcPr>
          <w:p w14:paraId="3D31568D" w14:textId="46619FF4" w:rsidR="00634D7D" w:rsidRPr="00C53926" w:rsidRDefault="00634D7D" w:rsidP="0052634C">
            <w:pPr>
              <w:spacing w:line="276" w:lineRule="auto"/>
              <w:rPr>
                <w:rFonts w:cstheme="minorHAnsi"/>
                <w:iCs/>
              </w:rPr>
            </w:pPr>
            <w:r>
              <w:rPr>
                <w:rFonts w:cstheme="minorHAnsi"/>
                <w:iCs/>
              </w:rPr>
              <w:t>10</w:t>
            </w:r>
          </w:p>
        </w:tc>
        <w:tc>
          <w:tcPr>
            <w:tcW w:w="842" w:type="dxa"/>
          </w:tcPr>
          <w:p w14:paraId="28D223C9" w14:textId="4B87409C" w:rsidR="00634D7D" w:rsidRPr="00C53926" w:rsidRDefault="00634D7D" w:rsidP="0052634C">
            <w:pPr>
              <w:spacing w:line="276" w:lineRule="auto"/>
              <w:rPr>
                <w:rFonts w:cstheme="minorHAnsi"/>
                <w:iCs/>
              </w:rPr>
            </w:pPr>
            <w:r>
              <w:rPr>
                <w:rFonts w:cstheme="minorHAnsi"/>
                <w:iCs/>
              </w:rPr>
              <w:t>1</w:t>
            </w:r>
          </w:p>
        </w:tc>
      </w:tr>
      <w:tr w:rsidR="00634D7D" w:rsidRPr="00C53926" w14:paraId="43F66790" w14:textId="77777777" w:rsidTr="3A8BAEDD">
        <w:tc>
          <w:tcPr>
            <w:tcW w:w="2331" w:type="dxa"/>
            <w:vMerge/>
          </w:tcPr>
          <w:p w14:paraId="23D6B17D" w14:textId="77777777" w:rsidR="00634D7D" w:rsidRPr="00C53926" w:rsidRDefault="00634D7D" w:rsidP="0052634C">
            <w:pPr>
              <w:spacing w:line="276" w:lineRule="auto"/>
              <w:rPr>
                <w:rFonts w:cstheme="minorHAnsi"/>
                <w:iCs/>
              </w:rPr>
            </w:pPr>
          </w:p>
        </w:tc>
        <w:tc>
          <w:tcPr>
            <w:tcW w:w="1149" w:type="dxa"/>
          </w:tcPr>
          <w:p w14:paraId="7E63DF53" w14:textId="77777777" w:rsidR="00634D7D" w:rsidRPr="00C53926" w:rsidRDefault="00634D7D" w:rsidP="0052634C">
            <w:pPr>
              <w:spacing w:line="276" w:lineRule="auto"/>
              <w:rPr>
                <w:rFonts w:cstheme="minorHAnsi"/>
                <w:iCs/>
              </w:rPr>
            </w:pPr>
            <w:r w:rsidRPr="00C53926">
              <w:rPr>
                <w:rFonts w:cstheme="minorHAnsi"/>
                <w:iCs/>
              </w:rPr>
              <w:t>Secondary</w:t>
            </w:r>
          </w:p>
        </w:tc>
        <w:tc>
          <w:tcPr>
            <w:tcW w:w="784" w:type="dxa"/>
            <w:vAlign w:val="bottom"/>
          </w:tcPr>
          <w:p w14:paraId="587B67F7" w14:textId="081435B7" w:rsidR="00634D7D" w:rsidRPr="00C53926" w:rsidRDefault="00B75C35" w:rsidP="0052634C">
            <w:pPr>
              <w:spacing w:line="276" w:lineRule="auto"/>
              <w:rPr>
                <w:rFonts w:cstheme="minorHAnsi"/>
                <w:iCs/>
              </w:rPr>
            </w:pPr>
            <w:r>
              <w:rPr>
                <w:rFonts w:ascii="Calibri" w:hAnsi="Calibri" w:cs="Calibri"/>
                <w:color w:val="000000"/>
              </w:rPr>
              <w:t>18</w:t>
            </w:r>
          </w:p>
        </w:tc>
        <w:tc>
          <w:tcPr>
            <w:tcW w:w="1012" w:type="dxa"/>
          </w:tcPr>
          <w:p w14:paraId="11504F77" w14:textId="498C72F6" w:rsidR="00634D7D" w:rsidRPr="00C53926" w:rsidRDefault="00634D7D" w:rsidP="0052634C">
            <w:pPr>
              <w:spacing w:line="276" w:lineRule="auto"/>
              <w:rPr>
                <w:rFonts w:cstheme="minorHAnsi"/>
                <w:iCs/>
              </w:rPr>
            </w:pPr>
            <w:r>
              <w:rPr>
                <w:rFonts w:cstheme="minorHAnsi"/>
                <w:iCs/>
              </w:rPr>
              <w:t>5</w:t>
            </w:r>
          </w:p>
        </w:tc>
        <w:tc>
          <w:tcPr>
            <w:tcW w:w="979" w:type="dxa"/>
          </w:tcPr>
          <w:p w14:paraId="51054ED0" w14:textId="1296598A" w:rsidR="00634D7D" w:rsidRPr="00C53926" w:rsidRDefault="00B75C35" w:rsidP="0052634C">
            <w:pPr>
              <w:spacing w:line="276" w:lineRule="auto"/>
              <w:rPr>
                <w:rFonts w:cstheme="minorHAnsi"/>
                <w:iCs/>
              </w:rPr>
            </w:pPr>
            <w:r>
              <w:rPr>
                <w:rFonts w:cstheme="minorHAnsi"/>
                <w:iCs/>
              </w:rPr>
              <w:t>10</w:t>
            </w:r>
          </w:p>
        </w:tc>
        <w:tc>
          <w:tcPr>
            <w:tcW w:w="915" w:type="dxa"/>
          </w:tcPr>
          <w:p w14:paraId="53AD5F72" w14:textId="1B23DAFC" w:rsidR="00634D7D" w:rsidRPr="00C53926" w:rsidRDefault="00634D7D" w:rsidP="0052634C">
            <w:pPr>
              <w:spacing w:line="276" w:lineRule="auto"/>
              <w:rPr>
                <w:rFonts w:cstheme="minorHAnsi"/>
                <w:iCs/>
              </w:rPr>
            </w:pPr>
            <w:r>
              <w:rPr>
                <w:rFonts w:cstheme="minorHAnsi"/>
                <w:iCs/>
              </w:rPr>
              <w:t>1</w:t>
            </w:r>
          </w:p>
        </w:tc>
        <w:tc>
          <w:tcPr>
            <w:tcW w:w="1004" w:type="dxa"/>
          </w:tcPr>
          <w:p w14:paraId="3D33891B" w14:textId="4F9A891A" w:rsidR="00634D7D" w:rsidRPr="00C53926" w:rsidRDefault="00634D7D" w:rsidP="0052634C">
            <w:pPr>
              <w:spacing w:line="276" w:lineRule="auto"/>
              <w:rPr>
                <w:rFonts w:cstheme="minorHAnsi"/>
                <w:iCs/>
              </w:rPr>
            </w:pPr>
            <w:r>
              <w:rPr>
                <w:rFonts w:cstheme="minorHAnsi"/>
                <w:iCs/>
              </w:rPr>
              <w:t>2</w:t>
            </w:r>
          </w:p>
        </w:tc>
        <w:tc>
          <w:tcPr>
            <w:tcW w:w="842" w:type="dxa"/>
          </w:tcPr>
          <w:p w14:paraId="7D1FB1D6" w14:textId="66810800" w:rsidR="00634D7D" w:rsidRPr="00C53926" w:rsidRDefault="00634D7D" w:rsidP="0052634C">
            <w:pPr>
              <w:spacing w:line="276" w:lineRule="auto"/>
              <w:rPr>
                <w:rFonts w:cstheme="minorHAnsi"/>
                <w:iCs/>
              </w:rPr>
            </w:pPr>
            <w:r>
              <w:rPr>
                <w:rFonts w:cstheme="minorHAnsi"/>
                <w:iCs/>
              </w:rPr>
              <w:t>0</w:t>
            </w:r>
          </w:p>
        </w:tc>
      </w:tr>
    </w:tbl>
    <w:p w14:paraId="7643BF1D" w14:textId="13115833" w:rsidR="007B076A" w:rsidRDefault="007B076A" w:rsidP="0052634C">
      <w:pPr>
        <w:spacing w:line="276" w:lineRule="auto"/>
        <w:rPr>
          <w:rFonts w:cstheme="minorHAnsi"/>
        </w:rPr>
      </w:pPr>
    </w:p>
    <w:p w14:paraId="1B7159F9" w14:textId="77777777" w:rsidR="00EC1E76" w:rsidRPr="00C53926" w:rsidRDefault="00EC1E76" w:rsidP="0073257F">
      <w:pPr>
        <w:spacing w:line="360" w:lineRule="auto"/>
        <w:rPr>
          <w:rFonts w:cstheme="minorHAnsi"/>
        </w:rPr>
      </w:pPr>
    </w:p>
    <w:p w14:paraId="2474C394" w14:textId="7D103E8C" w:rsidR="605252A6" w:rsidRDefault="605252A6" w:rsidP="0073257F">
      <w:pPr>
        <w:keepNext/>
        <w:spacing w:line="360" w:lineRule="auto"/>
      </w:pPr>
      <w:r w:rsidRPr="4D871791">
        <w:rPr>
          <w:i/>
          <w:iCs/>
        </w:rPr>
        <w:t xml:space="preserve">Outcome </w:t>
      </w:r>
      <w:r w:rsidR="3F2BA262" w:rsidRPr="4D871791">
        <w:rPr>
          <w:i/>
          <w:iCs/>
        </w:rPr>
        <w:t xml:space="preserve">measurement </w:t>
      </w:r>
      <w:r w:rsidRPr="4D871791">
        <w:rPr>
          <w:i/>
          <w:iCs/>
        </w:rPr>
        <w:t>tools</w:t>
      </w:r>
    </w:p>
    <w:p w14:paraId="31A396D4" w14:textId="307EB920" w:rsidR="005E4EF7" w:rsidRDefault="005E4EF7" w:rsidP="0073257F">
      <w:pPr>
        <w:spacing w:line="360" w:lineRule="auto"/>
      </w:pPr>
      <w:r>
        <w:t>An extensive range of primary and secondary outcome tools were reported across tendinopathies. A comprehensive mapping of the tools relative to health domains and tendinopathy types is provided in interactive searchable table</w:t>
      </w:r>
      <w:r w:rsidR="00B136AF">
        <w:t>s</w:t>
      </w:r>
      <w:r>
        <w:t xml:space="preserve"> in Supplementary file</w:t>
      </w:r>
      <w:r w:rsidR="00B136AF">
        <w:t>s SF5 and</w:t>
      </w:r>
      <w:r>
        <w:t xml:space="preserve"> SF6. The most frequently reported tools included visual analogue scales (VAS) (RCRSP 73, lateral elbow 44, Achilles 29, patellar 22); Victorian Institute of Sport Assessment questionnaires (Achilles VISA-A 59, patellar VISA-P 39); Shoulder Pain and Disability Index (SPADI) (RCRSP 45); Dynamometer (lateral elbow 39, RCRSP 17); Goniometer (RCRSP 39); Constant </w:t>
      </w:r>
      <w:proofErr w:type="spellStart"/>
      <w:r>
        <w:t>Murley</w:t>
      </w:r>
      <w:proofErr w:type="spellEnd"/>
      <w:r>
        <w:t xml:space="preserve"> Score (CMS) (RCRSP 36); Disabilities of the Arm, Shoulder and Hand questionnaire (DASH/Quick DASH) (RCRSP 35); Ultrasonography (Achilles 20, patellar 11); Patient rated tennis elbow evaluation questionnaire (lateral elbow 17), and numerical pain rating scale (NPRS) (RCRSP 14). The main secondary outcome tools were dynamometer (lateral elbow 15, RCRSP 13), VAS (RCRSP 15, Achilles 10, lateral elbow 8, patellar 8), NPRS (RCRSP 13, Achilles 5), Ultrasonography (Achilles 11), Goniometer (RCRSP 9), DASH (RCRSP 8), SF-36 (RCRSP 7), EQ-5D (Gluteal 6), CMS (RCRSP 6), Western Ontario Rotator Cuff Index (RCRSP 6) and Algometer (lateral elbow 5).</w:t>
      </w:r>
    </w:p>
    <w:p w14:paraId="6BDE0596" w14:textId="77777777" w:rsidR="005E4EF7" w:rsidRDefault="005E4EF7" w:rsidP="0073257F">
      <w:pPr>
        <w:spacing w:line="360" w:lineRule="auto"/>
      </w:pPr>
      <w:r>
        <w:t xml:space="preserve">Of the nine qualitative studies included, the majority were on RCRSP (5 studies) followed by Achilles (2), tibialis posterior (1) and a mixed group (1: Achilles/patellar/RCRSP). These studies represented 114 participants (people with tendinopathy and physiotherapists), of whom 68 were female and 45 </w:t>
      </w:r>
      <w:r>
        <w:lastRenderedPageBreak/>
        <w:t>male. The studies reported participants’ barriers and facilitators to exercise interventions, which included psychosocial impact, treatment burden, motivation, confidence, coping, pain, socialisation, and benefits of group exercise, recognising the challenges of exercise interventions and self-management. They also reported on a range of physiotherapist-related factors including views, clinical reasoning, perceived barriers and facilitators, and treatment awareness.</w:t>
      </w:r>
    </w:p>
    <w:p w14:paraId="217D8494" w14:textId="77777777" w:rsidR="00207DB9" w:rsidRDefault="00207DB9" w:rsidP="0073257F">
      <w:pPr>
        <w:spacing w:line="360" w:lineRule="auto"/>
      </w:pPr>
    </w:p>
    <w:p w14:paraId="6ABBFD15" w14:textId="398E9866" w:rsidR="00462D6E" w:rsidRPr="00FA1EC7" w:rsidRDefault="5BB2FD9C" w:rsidP="0073257F">
      <w:pPr>
        <w:spacing w:line="360" w:lineRule="auto"/>
        <w:rPr>
          <w:i/>
          <w:iCs/>
        </w:rPr>
      </w:pPr>
      <w:r w:rsidRPr="00C94A2B">
        <w:rPr>
          <w:i/>
          <w:iCs/>
        </w:rPr>
        <w:t>Citation</w:t>
      </w:r>
      <w:r w:rsidR="03E325BA" w:rsidRPr="00C94A2B">
        <w:rPr>
          <w:i/>
          <w:iCs/>
        </w:rPr>
        <w:t xml:space="preserve"> Analysis</w:t>
      </w:r>
    </w:p>
    <w:p w14:paraId="45918CB5" w14:textId="4AEB58BF" w:rsidR="00740189" w:rsidRDefault="54E717F6" w:rsidP="0073257F">
      <w:pPr>
        <w:spacing w:line="360" w:lineRule="auto"/>
      </w:pPr>
      <w:r>
        <w:t xml:space="preserve">A </w:t>
      </w:r>
      <w:r w:rsidR="431853B8">
        <w:t>c</w:t>
      </w:r>
      <w:r w:rsidR="0745FDBF">
        <w:t>itation analysis was</w:t>
      </w:r>
      <w:r w:rsidR="6D4AABB4">
        <w:t xml:space="preserve"> conducted on </w:t>
      </w:r>
      <w:r w:rsidR="0FF55AFB">
        <w:t>the Scopus information obtained from</w:t>
      </w:r>
      <w:r w:rsidR="2FFCDC71">
        <w:t xml:space="preserve"> </w:t>
      </w:r>
      <w:r w:rsidR="0745FDBF">
        <w:t>450</w:t>
      </w:r>
      <w:r w:rsidR="1B4B5AD5">
        <w:t xml:space="preserve"> (</w:t>
      </w:r>
      <w:r w:rsidR="2A3C51FE">
        <w:t>81%)</w:t>
      </w:r>
      <w:r w:rsidR="0745FDBF">
        <w:t xml:space="preserve"> of the included sources, generating 14860 references</w:t>
      </w:r>
      <w:r w:rsidR="5A2E1614">
        <w:t xml:space="preserve">. The full citation analysis is presented in the </w:t>
      </w:r>
      <w:r w:rsidR="008357C1">
        <w:t>S</w:t>
      </w:r>
      <w:r w:rsidR="5A2E1614">
        <w:t>upplementary file SF</w:t>
      </w:r>
      <w:r w:rsidR="00D46ED2">
        <w:t>7</w:t>
      </w:r>
      <w:r w:rsidR="5A2E1614">
        <w:t>.</w:t>
      </w:r>
      <w:r w:rsidR="0745FDBF">
        <w:t xml:space="preserve"> </w:t>
      </w:r>
      <w:r w:rsidR="3E8C44CC">
        <w:t xml:space="preserve">Of the 450 citations used to complete the </w:t>
      </w:r>
      <w:r w:rsidR="2A18116E">
        <w:t>analysis, they</w:t>
      </w:r>
      <w:r w:rsidR="14A0B2F5">
        <w:t xml:space="preserve"> </w:t>
      </w:r>
      <w:r w:rsidR="3E8C44CC">
        <w:t xml:space="preserve">were published </w:t>
      </w:r>
      <w:r w:rsidR="52B63B56">
        <w:t>in</w:t>
      </w:r>
      <w:r w:rsidR="4832B78D">
        <w:t>:</w:t>
      </w:r>
      <w:r w:rsidR="3C24C807">
        <w:t xml:space="preserve"> </w:t>
      </w:r>
      <w:r w:rsidR="0745FDBF">
        <w:t>British Journal of Sports Medicine</w:t>
      </w:r>
      <w:r w:rsidR="17932874">
        <w:t xml:space="preserve"> (39, 9%</w:t>
      </w:r>
      <w:r w:rsidR="343D25F1">
        <w:t>), American</w:t>
      </w:r>
      <w:r w:rsidR="0745FDBF">
        <w:t xml:space="preserve"> </w:t>
      </w:r>
      <w:r w:rsidR="07E7BAF5">
        <w:t>Journal</w:t>
      </w:r>
      <w:r w:rsidR="0745FDBF">
        <w:t xml:space="preserve"> of Sports Medicine</w:t>
      </w:r>
      <w:r w:rsidR="65D20E55">
        <w:t xml:space="preserve"> (28, 6%</w:t>
      </w:r>
      <w:r w:rsidR="03B9CBF5">
        <w:t>), Journal</w:t>
      </w:r>
      <w:r w:rsidR="0745FDBF">
        <w:t xml:space="preserve"> of Orthopaedic and Sports Physical Therapy</w:t>
      </w:r>
      <w:r w:rsidR="71A6148C">
        <w:t xml:space="preserve"> (15, 3%</w:t>
      </w:r>
      <w:r w:rsidR="0D82E461">
        <w:t>), Clinical</w:t>
      </w:r>
      <w:r w:rsidR="0745FDBF">
        <w:t xml:space="preserve"> Journal of Sports Medicine</w:t>
      </w:r>
      <w:r w:rsidR="153227A8">
        <w:t xml:space="preserve"> (14, 3%)</w:t>
      </w:r>
      <w:r w:rsidR="0745FDBF">
        <w:t xml:space="preserve"> and Knee Surgery Sports Traumatology Arthroscopy</w:t>
      </w:r>
      <w:r w:rsidR="3DD029C7">
        <w:t xml:space="preserve"> (14, 3%)</w:t>
      </w:r>
      <w:r w:rsidR="0745FDBF">
        <w:t>. Based on citations per year, the top</w:t>
      </w:r>
      <w:r w:rsidR="79DB34CE">
        <w:t xml:space="preserve"> ranked</w:t>
      </w:r>
      <w:r w:rsidR="0745FDBF">
        <w:t xml:space="preserve"> </w:t>
      </w:r>
      <w:r w:rsidR="380F559A" w:rsidRPr="00B074A2">
        <w:t xml:space="preserve">studies included </w:t>
      </w:r>
      <w:r w:rsidR="0745FDBF" w:rsidRPr="00B074A2">
        <w:t>De Vos et al</w:t>
      </w:r>
      <w:r w:rsidR="00077662" w:rsidRPr="00B074A2">
        <w:t xml:space="preserve">. </w:t>
      </w:r>
      <w:r w:rsidR="3A4A852F" w:rsidRPr="00B074A2">
        <w:t>(</w:t>
      </w:r>
      <w:r w:rsidR="78EF6A60" w:rsidRPr="00B074A2">
        <w:t>49 citations per year)</w:t>
      </w:r>
      <w:r w:rsidR="00E70373" w:rsidRPr="00B074A2">
        <w:t xml:space="preserve"> </w:t>
      </w:r>
      <w:r w:rsidR="00E70373" w:rsidRPr="00B074A2">
        <w:fldChar w:fldCharType="begin"/>
      </w:r>
      <w:r w:rsidR="009E1E2B">
        <w:instrText xml:space="preserve"> ADDIN ZOTERO_ITEM CSL_CITATION {"citationID":"Ble6gmWQ","properties":{"formattedCitation":"[21]","plainCitation":"[21]","noteIndex":0},"citationItems":[{"id":63,"uris":["http://zotero.org/users/local/ehxbAYSD/items/AZAPJ8YK"],"uri":["http://zotero.org/users/local/ehxbAYSD/items/AZAPJ8YK"],"itemData":{"id":63,"type":"article-journal","container-title":"JAMA","DOI":"10.1001/jama.2009.1986","ISSN":"0098-7484","issue":"2","journalAbbreviation":"JAMA","language":"en","page":"144","source":"DOI.org (Crossref)","title":"Platelet-Rich Plasma Injection for Chronic Achilles Tendinopathy: A Randomized Controlled Trial","title-short":"Platelet-Rich Plasma Injection for Chronic Achilles Tendinopathy","volume":"303","author":[{"family":"Vos","given":"Robert J.","non-dropping-particle":"de"},{"family":"Weir","given":"Adam"},{"family":"Schie","given":"Hans T. M.","non-dropping-particle":"van"},{"family":"Bierma-Zeinstra","given":"Sita M. A."},{"family":"Verhaar","given":"Jan A. N."},{"family":"Weinans","given":"Harrie"},{"family":"Tol","given":"Johannes L."}],"issued":{"date-parts":[["2010",1,13]]}}}],"schema":"https://github.com/citation-style-language/schema/raw/master/csl-citation.json"} </w:instrText>
      </w:r>
      <w:r w:rsidR="00E70373" w:rsidRPr="00B074A2">
        <w:fldChar w:fldCharType="separate"/>
      </w:r>
      <w:r w:rsidR="009E1E2B" w:rsidRPr="009E1E2B">
        <w:rPr>
          <w:rFonts w:ascii="Calibri" w:hAnsi="Calibri" w:cs="Calibri"/>
        </w:rPr>
        <w:t>[21]</w:t>
      </w:r>
      <w:r w:rsidR="00E70373" w:rsidRPr="00B074A2">
        <w:fldChar w:fldCharType="end"/>
      </w:r>
      <w:r w:rsidR="0745FDBF" w:rsidRPr="00B074A2">
        <w:t xml:space="preserve">, </w:t>
      </w:r>
      <w:proofErr w:type="spellStart"/>
      <w:r w:rsidR="0745FDBF" w:rsidRPr="00B074A2">
        <w:t>Alfredson</w:t>
      </w:r>
      <w:proofErr w:type="spellEnd"/>
      <w:r w:rsidR="0745FDBF" w:rsidRPr="00B074A2">
        <w:t xml:space="preserve"> et al</w:t>
      </w:r>
      <w:r w:rsidR="008215A8" w:rsidRPr="00B074A2">
        <w:t xml:space="preserve">. </w:t>
      </w:r>
      <w:r w:rsidR="0A199563" w:rsidRPr="00B074A2">
        <w:t>(30 citations per year)</w:t>
      </w:r>
      <w:r w:rsidR="00EA37E6" w:rsidRPr="00B074A2">
        <w:t xml:space="preserve"> </w:t>
      </w:r>
      <w:r w:rsidR="00EA37E6" w:rsidRPr="00B074A2">
        <w:fldChar w:fldCharType="begin"/>
      </w:r>
      <w:r w:rsidR="00EA37E6" w:rsidRPr="00B074A2">
        <w:instrText xml:space="preserve"> ADDIN ZOTERO_ITEM CSL_CITATION {"citationID":"8ewccLTG","properties":{"formattedCitation":"[17]","plainCitation":"[17]","noteIndex":0},"citationItems":[{"id":17,"uris":["http://zotero.org/users/local/ehxbAYSD/items/NUN5C4HW"],"uri":["http://zotero.org/users/local/ehxbAYSD/items/NUN5C4HW"],"itemData":{"id":17,"type":"article-journal","abstract":"We prospectively studied the effect of heavy-load eccentric calf muscle training in 15 recreational athletes (12 men and 3 women; mean age, 44.3 7.0 years) who had the diagnosis of chronic Achilles tendinosis (degenerative changes) with a long duration of symptoms despite conventional nonsurgical treatment. Calf muscle strength and the amount of pain during activity (recorded on a visual analog scale) were measured before onset of training and after 12 weeks of eccentric training. At week 0, all patients had Achilles tendon pain not allowing running activity, and there was significantly lower eccentric and concentric calf muscle strength on the injured compared with the noninjured side. After the 12-week training period, all 15 patients were back at their preinjury levels with full running activity. There was a significant decrease in pain during activity, and the calf muscle strength on the injured side had increased significantly and did not differ significantly from that of the noninjured side. A comparison group of 15 recreational athletes with the same diagnosis and a long duration of symptoms had been treated conventionally, i.e., rest, nonsteroidal antiinflammatory drugs, changes of shoes or orthoses, physical therapy, and in all cases also with ordinary training programs. In no case was the conventional treatment successful, and all patients were ultimately treated surgically. Our treatment model with heavy-load eccentric calf muscle training has a very good short-term effect on athletes in their early forties.","container-title":"The American Journal of Sports Medicine","DOI":"10.1177/03635465980260030301","ISSN":"0363-5465, 1552-3365","issue":"3","journalAbbreviation":"Am J Sports Med","language":"en","page":"360-366","source":"DOI.org (Crossref)","title":"Heavy-Load Eccentric Calf Muscle Training For the Treatment of Chronic Achilles Tendinosis","volume":"26","author":[{"family":"Alfredson","given":"Håkan"},{"family":"Pietilä","given":"Tom"},{"family":"Jonsson","given":"Per"},{"family":"Lorentzon","given":"Ronny"}],"issued":{"date-parts":[["1998",5]]}}}],"schema":"https://github.com/citation-style-language/schema/raw/master/csl-citation.json"} </w:instrText>
      </w:r>
      <w:r w:rsidR="00EA37E6" w:rsidRPr="00B074A2">
        <w:fldChar w:fldCharType="separate"/>
      </w:r>
      <w:r w:rsidR="00EA37E6" w:rsidRPr="00B074A2">
        <w:rPr>
          <w:rFonts w:ascii="Calibri" w:hAnsi="Calibri" w:cs="Calibri"/>
        </w:rPr>
        <w:t>[17]</w:t>
      </w:r>
      <w:r w:rsidR="00EA37E6" w:rsidRPr="00B074A2">
        <w:fldChar w:fldCharType="end"/>
      </w:r>
      <w:r w:rsidR="0745FDBF" w:rsidRPr="00B074A2">
        <w:t xml:space="preserve">, De </w:t>
      </w:r>
      <w:proofErr w:type="spellStart"/>
      <w:r w:rsidR="0745FDBF" w:rsidRPr="00B074A2">
        <w:t>Jonge</w:t>
      </w:r>
      <w:proofErr w:type="spellEnd"/>
      <w:r w:rsidR="0745FDBF" w:rsidRPr="00B074A2">
        <w:t xml:space="preserve"> et al</w:t>
      </w:r>
      <w:r w:rsidR="0068436F" w:rsidRPr="00B074A2">
        <w:t>.</w:t>
      </w:r>
      <w:r w:rsidR="0745FDBF" w:rsidRPr="00B074A2">
        <w:t xml:space="preserve"> </w:t>
      </w:r>
      <w:r w:rsidR="11F42A6E" w:rsidRPr="00B074A2">
        <w:t>(21 citations per year)</w:t>
      </w:r>
      <w:r w:rsidR="00E70373" w:rsidRPr="00B074A2">
        <w:t xml:space="preserve"> </w:t>
      </w:r>
      <w:r w:rsidR="00E70373" w:rsidRPr="00B074A2">
        <w:fldChar w:fldCharType="begin"/>
      </w:r>
      <w:r w:rsidR="009E1E2B">
        <w:instrText xml:space="preserve"> ADDIN ZOTERO_ITEM CSL_CITATION {"citationID":"ruM1r0i2","properties":{"formattedCitation":"[22]","plainCitation":"[22]","noteIndex":0},"citationItems":[{"id":59,"uris":["http://zotero.org/users/local/ehxbAYSD/items/A3RM65PS"],"uri":["http://zotero.org/users/local/ehxbAYSD/items/A3RM65PS"],"itemData":{"id":59,"type":"article-journal","abstract":"Background\n              Achilles tendinopathy is a common disease among both athletes and in the general population in which the use of platelet-rich plasma has recently been increasing. Good evidence for the use of this autologous product in tendinopathy is limited, and data on longer-term results are lacking.\n            \n            \n              Purpose\n              To study the effects of a platelet-rich plasma injection in patients with chronic midportion Achilles tendinopathy at 1-year follow-up.\n            \n            \n              Study Design\n              Randomized controlled trial; Level of evidence, 1.\n            \n            \n              Methods\n              Fifty-four patients, aged 18 to 70 years, with chronic tendinopathy 2 to 7 cm proximal to the Achilles tendon insertion were randomized to receive either a blinded injection containing platelet-rich plasma or saline (placebo group) in addition to an eccentric training program. The main outcome was the validated Victorian Institute of Sports Assessment–Achilles score. Patient satisfaction was recorded and ultrasound examination performed at baseline and follow-up.\n            \n            \n              Results\n              The mean Victorian Institute of Sports Assessment–Achilles score improved in both the platelet-rich plasma group and the placebo group after 1 year. There was no significant difference in increase between both groups (adjusted between-group difference, 5.5; 95% confidence interval, –4.9 to 15.8, P = .292). In both groups, 59% of the patients were satisfied with the received treatment. Ultrasonographic tendon structure improved significantly in both groups but was not significantly different between groups (adjusted between-group difference, 1.2%; 95% confidence interval, –4.1 to 6.6, P = .647).\n            \n            \n              Conclusion\n              This randomized controlled trial showed no clinical and ultrasonographic superiority of platelet-rich plasma injection over a placebo injection in chronic Achilles tendinopathy at 1 year combined with an eccentric training program.","container-title":"The American Journal of Sports Medicine","DOI":"10.1177/0363546511404877","ISSN":"0363-5465, 1552-3365","issue":"8","journalAbbreviation":"Am J Sports Med","language":"en","page":"1623-1630","source":"DOI.org (Crossref)","title":"One-Year Follow-up of Platelet-Rich Plasma Treatment in Chronic Achilles Tendinopathy: A Double-Blind Randomized Placebo-Controlled Trial","title-short":"One-Year Follow-up of Platelet-Rich Plasma Treatment in Chronic Achilles Tendinopathy","volume":"39","author":[{"family":"Jonge","given":"Suzan","non-dropping-particle":"de"},{"family":"Vos","given":"Robert J.","non-dropping-particle":"de"},{"family":"Weir","given":"Adam"},{"family":"Schie","given":"Hans T. M.","non-dropping-particle":"van"},{"family":"Bierma-Zeinstra","given":"Sita M. A."},{"family":"Verhaar","given":"Jan A. N."},{"family":"Weinans","given":"Harrie"},{"family":"Tol","given":"Johannes L."}],"issued":{"date-parts":[["2011",8]]}}}],"schema":"https://github.com/citation-style-language/schema/raw/master/csl-citation.json"} </w:instrText>
      </w:r>
      <w:r w:rsidR="00E70373" w:rsidRPr="00B074A2">
        <w:fldChar w:fldCharType="separate"/>
      </w:r>
      <w:r w:rsidR="009E1E2B" w:rsidRPr="009E1E2B">
        <w:rPr>
          <w:rFonts w:ascii="Calibri" w:hAnsi="Calibri" w:cs="Calibri"/>
        </w:rPr>
        <w:t>[22]</w:t>
      </w:r>
      <w:r w:rsidR="00E70373" w:rsidRPr="00B074A2">
        <w:fldChar w:fldCharType="end"/>
      </w:r>
      <w:r w:rsidR="0745FDBF" w:rsidRPr="00B074A2">
        <w:t xml:space="preserve">, </w:t>
      </w:r>
      <w:proofErr w:type="spellStart"/>
      <w:r w:rsidR="0745FDBF" w:rsidRPr="00B074A2">
        <w:t>Malliaras</w:t>
      </w:r>
      <w:proofErr w:type="spellEnd"/>
      <w:r w:rsidR="0745FDBF" w:rsidRPr="00B074A2">
        <w:t xml:space="preserve"> et al</w:t>
      </w:r>
      <w:r w:rsidR="0068436F" w:rsidRPr="00B074A2">
        <w:t>.</w:t>
      </w:r>
      <w:r w:rsidR="0745FDBF" w:rsidRPr="00B074A2">
        <w:t xml:space="preserve"> </w:t>
      </w:r>
      <w:r w:rsidR="5133296B" w:rsidRPr="00B074A2">
        <w:t xml:space="preserve">(21 citations per year) </w:t>
      </w:r>
      <w:r w:rsidR="00BF6B15" w:rsidRPr="00B074A2">
        <w:fldChar w:fldCharType="begin"/>
      </w:r>
      <w:r w:rsidR="009E1E2B">
        <w:instrText xml:space="preserve"> ADDIN ZOTERO_ITEM CSL_CITATION {"citationID":"oN0Y8Jp4","properties":{"formattedCitation":"[23]","plainCitation":"[23]","noteIndex":0},"citationItems":[{"id":60,"uris":["http://zotero.org/users/local/ehxbAYSD/items/DCIQQU7T"],"uri":["http://zotero.org/users/local/ehxbAYSD/items/DCIQQU7T"],"itemData":{"id":60,"type":"article-journal","container-title":"Sports Medicine","DOI":"10.1007/s40279-013-0019-z","ISSN":"0112-1642, 1179-2035","issue":"4","journalAbbreviation":"Sports Med","language":"en","page":"267-286","source":"DOI.org (Crossref)","title":"Achilles and Patellar Tendinopathy Loading Programmes: A Systematic Review Comparing Clinical Outcomes and Identifying Potential Mechanisms for Effectiveness","title-short":"Achilles and Patellar Tendinopathy Loading Programmes","volume":"43","author":[{"family":"Malliaras","given":"Peter"},{"family":"Barton","given":"Christian J."},{"family":"Reeves","given":"Neil D."},{"family":"Langberg","given":"Henning"}],"issued":{"date-parts":[["2013",4]]}}}],"schema":"https://github.com/citation-style-language/schema/raw/master/csl-citation.json"} </w:instrText>
      </w:r>
      <w:r w:rsidR="00BF6B15" w:rsidRPr="00B074A2">
        <w:fldChar w:fldCharType="separate"/>
      </w:r>
      <w:r w:rsidR="009E1E2B" w:rsidRPr="009E1E2B">
        <w:rPr>
          <w:rFonts w:ascii="Calibri" w:hAnsi="Calibri" w:cs="Calibri"/>
        </w:rPr>
        <w:t>[23]</w:t>
      </w:r>
      <w:r w:rsidR="00BF6B15" w:rsidRPr="00B074A2">
        <w:fldChar w:fldCharType="end"/>
      </w:r>
      <w:r w:rsidR="00BF6B15" w:rsidRPr="00B074A2">
        <w:t xml:space="preserve"> </w:t>
      </w:r>
      <w:r w:rsidR="0745FDBF" w:rsidRPr="00B074A2">
        <w:t xml:space="preserve">and </w:t>
      </w:r>
      <w:proofErr w:type="spellStart"/>
      <w:r w:rsidR="0745FDBF" w:rsidRPr="00B074A2">
        <w:t>Thanasas</w:t>
      </w:r>
      <w:proofErr w:type="spellEnd"/>
      <w:r w:rsidR="0745FDBF" w:rsidRPr="00B074A2">
        <w:t xml:space="preserve"> et al</w:t>
      </w:r>
      <w:r w:rsidR="0068436F" w:rsidRPr="00B074A2">
        <w:t>.</w:t>
      </w:r>
      <w:r w:rsidR="2918EC69" w:rsidRPr="00B074A2">
        <w:t xml:space="preserve"> (20 citations</w:t>
      </w:r>
      <w:r w:rsidR="2918EC69">
        <w:t xml:space="preserve"> per year)</w:t>
      </w:r>
      <w:r w:rsidR="00BF6B15">
        <w:t xml:space="preserve"> </w:t>
      </w:r>
      <w:r w:rsidR="00BF6B15">
        <w:fldChar w:fldCharType="begin"/>
      </w:r>
      <w:r w:rsidR="009E1E2B">
        <w:instrText xml:space="preserve"> ADDIN ZOTERO_ITEM CSL_CITATION {"citationID":"NBrrOU2X","properties":{"formattedCitation":"[24]","plainCitation":"[24]","noteIndex":0},"citationItems":[{"id":61,"uris":["http://zotero.org/users/local/ehxbAYSD/items/X8GLHATR"],"uri":["http://zotero.org/users/local/ehxbAYSD/items/X8GLHATR"],"itemData":{"id":61,"type":"article-journal","abstract":"Background: Chronic lateral elbow epicondylitis is a tendinosis with angiofibrolastic degeneration of the wrist extensors’ origin. Healing of this lesion is reported with the use of autologous blood as well as with platelet-rich plasma (PRP).\n            Purpose: A comparative study of these 2 treatments was conducted in an effort to investigate the possible advantages of PRP.\n            Study Design: Randomized controlled trial; Level of evidence, 1.\n            Methods: Twenty-eight patients were divided equally into 2 groups, after blocked randomization. Group A was treated with a single injection of 3 mL of autologous blood and group B with 3 mL of PRP under ultrasound guidance. A standardized program of eccentric muscle strengthening was followed by all patients in both groups. Evaluation using a pain visual analog scale (VAS) and Liverpool elbow score was performed at 6 weeks, 3 months, and 6 months.\n            Results: The VAS score improvement was larger in group B at every follow-up interval but the difference was statistically significant only at 6 weeks, when mean improvement was 3.8 points (95% confidence interval [CI], 3.1-4.5) in group B (61.47% improvement) and 2.5 points (95% CI, 1.9-3.1) in group A (41.6% improvement) ( P &lt; .05). No statistically significant difference was noted between groups regarding Liverpool elbow score.\n            Conclusion: Regarding pain reduction, PRP treatment seems to be an effective treatment for chronic lateral elbow epicondylitis and superior to autologous blood in the short term. Defining details of indications, best PRP concentration, number and time of injections, as well as rehabilitation protocol might increase the method’s effectiveness. Additionally, the possibility of cost reduction of the method might justify the use of PRP over autologous whole blood for chronic or refractory tennis elbow.","container-title":"The American Journal of Sports Medicine","DOI":"10.1177/0363546511417113","ISSN":"0363-5465, 1552-3365","issue":"10","journalAbbreviation":"Am J Sports Med","language":"en","page":"2130-2134","source":"DOI.org (Crossref)","title":"Platelet-Rich Plasma Versus Autologous Whole Blood for the Treatment of Chronic Lateral Elbow Epicondylitis: A Randomized Controlled Clinical Trial","title-short":"Platelet-Rich Plasma Versus Autologous Whole Blood for the Treatment of Chronic Lateral Elbow Epicondylitis","volume":"39","author":[{"family":"Thanasas","given":"Christos"},{"family":"Papadimitriou","given":"George"},{"family":"Charalambidis","given":"Charalambos"},{"family":"Paraskevopoulos","given":"Ilias"},{"family":"Papanikolaou","given":"Athanasios"}],"issued":{"date-parts":[["2011",10]]}}}],"schema":"https://github.com/citation-style-language/schema/raw/master/csl-citation.json"} </w:instrText>
      </w:r>
      <w:r w:rsidR="00BF6B15">
        <w:fldChar w:fldCharType="separate"/>
      </w:r>
      <w:r w:rsidR="009E1E2B" w:rsidRPr="009E1E2B">
        <w:rPr>
          <w:rFonts w:ascii="Calibri" w:hAnsi="Calibri" w:cs="Calibri"/>
        </w:rPr>
        <w:t>[24]</w:t>
      </w:r>
      <w:r w:rsidR="00BF6B15">
        <w:fldChar w:fldCharType="end"/>
      </w:r>
      <w:r w:rsidR="0745FDBF">
        <w:t>.</w:t>
      </w:r>
      <w:r w:rsidR="2D2822EE">
        <w:t xml:space="preserve"> Across the 14860 references identified,</w:t>
      </w:r>
      <w:r w:rsidR="5CAC8FC1">
        <w:t xml:space="preserve"> </w:t>
      </w:r>
      <w:r w:rsidR="69E3DBA3">
        <w:t xml:space="preserve">they were obtained </w:t>
      </w:r>
      <w:r w:rsidR="01A84B1E">
        <w:t>from the</w:t>
      </w:r>
      <w:r w:rsidR="646B0F04">
        <w:t xml:space="preserve"> American Journal of Sports </w:t>
      </w:r>
      <w:r w:rsidR="157FD099">
        <w:t>M</w:t>
      </w:r>
      <w:r w:rsidR="646B0F04">
        <w:t>edicine</w:t>
      </w:r>
      <w:r w:rsidR="07548549">
        <w:t xml:space="preserve"> (655, 4%</w:t>
      </w:r>
      <w:r w:rsidR="2E88B54F">
        <w:t>), British</w:t>
      </w:r>
      <w:r w:rsidR="646B0F04">
        <w:t xml:space="preserve"> Journal of Sports Medicine</w:t>
      </w:r>
      <w:r w:rsidR="797EB881">
        <w:t xml:space="preserve"> (628, 4%</w:t>
      </w:r>
      <w:r w:rsidR="028E1EE4">
        <w:t>), Journal</w:t>
      </w:r>
      <w:r w:rsidR="670F3F19">
        <w:t xml:space="preserve"> of Orthopaedic Sports Physical Therapy </w:t>
      </w:r>
      <w:r w:rsidR="5C404DE5">
        <w:t xml:space="preserve">(304, 2%) </w:t>
      </w:r>
      <w:r w:rsidR="670F3F19">
        <w:t>and British Medical Journal</w:t>
      </w:r>
      <w:r w:rsidR="1EAC36D3">
        <w:t xml:space="preserve"> (262, 2%)</w:t>
      </w:r>
      <w:r w:rsidR="670F3F19">
        <w:t>.</w:t>
      </w:r>
      <w:r w:rsidR="646B0F04">
        <w:t xml:space="preserve"> </w:t>
      </w:r>
      <w:r w:rsidR="7A4B26E1">
        <w:t xml:space="preserve">A </w:t>
      </w:r>
      <w:r w:rsidR="22524579">
        <w:t>country collaboration</w:t>
      </w:r>
      <w:r w:rsidR="7A4B26E1">
        <w:t xml:space="preserve"> network</w:t>
      </w:r>
      <w:r w:rsidR="2AAA9B92">
        <w:t xml:space="preserve"> diagram</w:t>
      </w:r>
      <w:r w:rsidR="7A4B26E1">
        <w:t xml:space="preserve"> of the included references is provided in Figure </w:t>
      </w:r>
      <w:r w:rsidR="00D46ED2">
        <w:t>6</w:t>
      </w:r>
      <w:r w:rsidR="7A4B26E1">
        <w:t xml:space="preserve">, illustrating </w:t>
      </w:r>
      <w:r w:rsidR="66555CCA">
        <w:t>extensive collaborations across man</w:t>
      </w:r>
      <w:r w:rsidR="00C94A2B">
        <w:t>y</w:t>
      </w:r>
      <w:r w:rsidR="66555CCA">
        <w:t xml:space="preserve"> countries</w:t>
      </w:r>
      <w:r w:rsidR="1B5F394B">
        <w:t xml:space="preserve"> </w:t>
      </w:r>
      <w:r w:rsidR="20FB456D">
        <w:t xml:space="preserve">especially </w:t>
      </w:r>
      <w:r w:rsidR="1B5F394B">
        <w:t xml:space="preserve">the UK, </w:t>
      </w:r>
      <w:r w:rsidR="44B3BE2B">
        <w:t>USA,</w:t>
      </w:r>
      <w:r w:rsidR="1B5F394B">
        <w:t xml:space="preserve"> and Australia</w:t>
      </w:r>
      <w:r w:rsidR="1F17DDBA">
        <w:t xml:space="preserve">. </w:t>
      </w:r>
    </w:p>
    <w:p w14:paraId="41B88635" w14:textId="0865AB8D" w:rsidR="00740189" w:rsidRDefault="00930D02" w:rsidP="0073257F">
      <w:pPr>
        <w:spacing w:line="360" w:lineRule="auto"/>
      </w:pPr>
      <w:r>
        <w:rPr>
          <w:noProof/>
        </w:rPr>
        <w:drawing>
          <wp:inline distT="0" distB="0" distL="0" distR="0" wp14:anchorId="3F72F127" wp14:editId="2B4BBF7A">
            <wp:extent cx="5731510" cy="2821940"/>
            <wp:effectExtent l="0" t="0" r="2540"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2821940"/>
                    </a:xfrm>
                    <a:prstGeom prst="rect">
                      <a:avLst/>
                    </a:prstGeom>
                  </pic:spPr>
                </pic:pic>
              </a:graphicData>
            </a:graphic>
          </wp:inline>
        </w:drawing>
      </w:r>
    </w:p>
    <w:p w14:paraId="7BCFE0FB" w14:textId="39EA75BA" w:rsidR="00740189" w:rsidRDefault="00740189" w:rsidP="00740189">
      <w:pPr>
        <w:spacing w:line="360" w:lineRule="auto"/>
      </w:pPr>
      <w:r w:rsidRPr="00262D61">
        <w:rPr>
          <w:b/>
          <w:bCs/>
        </w:rPr>
        <w:t>Figure 6:</w:t>
      </w:r>
      <w:r>
        <w:t xml:space="preserve"> C</w:t>
      </w:r>
      <w:r w:rsidRPr="00D46ED2">
        <w:t>ountry collaboration network diagram of the included references</w:t>
      </w:r>
      <w:r>
        <w:t>.</w:t>
      </w:r>
    </w:p>
    <w:p w14:paraId="72B33024" w14:textId="77777777" w:rsidR="009F3EAD" w:rsidRPr="002678E4" w:rsidRDefault="009F3EAD" w:rsidP="00740189">
      <w:pPr>
        <w:spacing w:line="360" w:lineRule="auto"/>
      </w:pPr>
    </w:p>
    <w:p w14:paraId="64223A70" w14:textId="6A80E998" w:rsidR="00555762" w:rsidRPr="00555762" w:rsidRDefault="390959BD" w:rsidP="0073257F">
      <w:pPr>
        <w:pStyle w:val="Heading1"/>
      </w:pPr>
      <w:r w:rsidRPr="4D871791">
        <w:t>DISCUSSION</w:t>
      </w:r>
    </w:p>
    <w:p w14:paraId="0324AEF5" w14:textId="4E353E5D" w:rsidR="00EC1E76" w:rsidRDefault="00EC1E76" w:rsidP="0073257F">
      <w:pPr>
        <w:spacing w:line="360" w:lineRule="auto"/>
      </w:pPr>
      <w:r>
        <w:t>This is the first scoping review to comprehensively map existing evidence on exercise interventions and outcomes for the treatment of tendinopathies. A total of 555 sources were included, demonstrating the abundance of research and the need for it to be mapped in this review, to identify gaps and inform future research</w:t>
      </w:r>
      <w:r w:rsidR="00E0191A">
        <w:t xml:space="preserve"> and evidence synthesis</w:t>
      </w:r>
      <w:r>
        <w:t>.  There are clear implications for further vital research and evidence synthesis to enhance exercise interventions for people with tendinopathy. The review also raises practice implications. However, due</w:t>
      </w:r>
      <w:r w:rsidRPr="46C78BCB">
        <w:rPr>
          <w:rFonts w:ascii="Calibri" w:eastAsia="Calibri" w:hAnsi="Calibri" w:cs="Calibri"/>
        </w:rPr>
        <w:t xml:space="preserve"> to this being a scoping review, with no quality appraisal of included studies, further work is required before recommending significant changes to practice. </w:t>
      </w:r>
    </w:p>
    <w:p w14:paraId="3158B04A" w14:textId="5B248402" w:rsidR="00EC1E76" w:rsidRDefault="00EC1E76" w:rsidP="0073257F">
      <w:pPr>
        <w:spacing w:line="360" w:lineRule="auto"/>
      </w:pPr>
      <w:r w:rsidRPr="46C78BCB">
        <w:rPr>
          <w:rFonts w:ascii="Calibri" w:eastAsia="Calibri" w:hAnsi="Calibri" w:cs="Calibri"/>
        </w:rPr>
        <w:t xml:space="preserve">Although there has been a trend to increased numbers of RCTs over </w:t>
      </w:r>
      <w:r w:rsidR="00BB040C">
        <w:rPr>
          <w:rFonts w:ascii="Calibri" w:eastAsia="Calibri" w:hAnsi="Calibri" w:cs="Calibri"/>
        </w:rPr>
        <w:t>time, there we</w:t>
      </w:r>
      <w:r w:rsidRPr="46C78BCB">
        <w:rPr>
          <w:rFonts w:ascii="Calibri" w:eastAsia="Calibri" w:hAnsi="Calibri" w:cs="Calibri"/>
        </w:rPr>
        <w:t>re relatively large numbers of quasi-experimental and observational studies</w:t>
      </w:r>
      <w:r w:rsidR="009A7469">
        <w:rPr>
          <w:rFonts w:ascii="Calibri" w:eastAsia="Calibri" w:hAnsi="Calibri" w:cs="Calibri"/>
        </w:rPr>
        <w:t xml:space="preserve"> identified</w:t>
      </w:r>
      <w:r w:rsidRPr="46C78BCB">
        <w:rPr>
          <w:rFonts w:ascii="Calibri" w:eastAsia="Calibri" w:hAnsi="Calibri" w:cs="Calibri"/>
        </w:rPr>
        <w:t xml:space="preserve">, which have more limited ability to draw clear conclusions on </w:t>
      </w:r>
      <w:r w:rsidR="00BB040C">
        <w:rPr>
          <w:rFonts w:ascii="Calibri" w:eastAsia="Calibri" w:hAnsi="Calibri" w:cs="Calibri"/>
        </w:rPr>
        <w:t xml:space="preserve">the </w:t>
      </w:r>
      <w:r w:rsidRPr="46C78BCB">
        <w:rPr>
          <w:rFonts w:ascii="Calibri" w:eastAsia="Calibri" w:hAnsi="Calibri" w:cs="Calibri"/>
        </w:rPr>
        <w:t xml:space="preserve">effectiveness of exercise interventions. This finding, along with the variable sample sizes of included studies, emphasises the need for researchers to cease the conduct of small, poor-quality studies, and for researchers and funders to focus on adequately powered rigorous studies </w:t>
      </w:r>
      <w:r w:rsidR="009A7469">
        <w:rPr>
          <w:rFonts w:ascii="Calibri" w:eastAsia="Calibri" w:hAnsi="Calibri" w:cs="Calibri"/>
        </w:rPr>
        <w:t xml:space="preserve">of effectiveness </w:t>
      </w:r>
      <w:r w:rsidRPr="46C78BCB">
        <w:rPr>
          <w:rFonts w:ascii="Calibri" w:eastAsia="Calibri" w:hAnsi="Calibri" w:cs="Calibri"/>
        </w:rPr>
        <w:t>that can influence practice</w:t>
      </w:r>
      <w:r>
        <w:rPr>
          <w:rFonts w:ascii="Calibri" w:eastAsia="Calibri" w:hAnsi="Calibri" w:cs="Calibri"/>
        </w:rPr>
        <w:t xml:space="preserve"> </w:t>
      </w:r>
      <w:r>
        <w:rPr>
          <w:rFonts w:ascii="Calibri" w:eastAsia="Calibri" w:hAnsi="Calibri" w:cs="Calibri"/>
        </w:rPr>
        <w:fldChar w:fldCharType="begin"/>
      </w:r>
      <w:r w:rsidR="004F2B13">
        <w:rPr>
          <w:rFonts w:ascii="Calibri" w:eastAsia="Calibri" w:hAnsi="Calibri" w:cs="Calibri"/>
        </w:rPr>
        <w:instrText xml:space="preserve"> ADDIN ZOTERO_ITEM CSL_CITATION {"citationID":"fLu4fpBc","properties":{"formattedCitation":"[6,25]","plainCitation":"[6,25]","noteIndex":0},"citationItems":[{"id":6,"uris":["http://zotero.org/users/local/ehxbAYSD/items/85ELIVTP"],"uri":["http://zotero.org/users/local/ehxbAYSD/items/85ELIVTP"],"itemData":{"id":6,"type":"article-journal","abstract":"Background: Proximal hamstring tendinopathy affects athletic and non-athletic populations and is associated with longstanding buttock pain. The condition is common in track and field, long distance running and field-based sports. Management options need to be evaluated to direct appropriate clinical management.\nPurpose/Hypothesis: To evaluate surgical and non-surgical interventions used in managing proximal hamstring tendinopathy.\nStudy design: Systematic review.\nMethods: Electronic databases were searched to January 2019. Studies (all designs) investigating interventions for people with proximal hamstring tendinopathy were eligible. Outcomes included symptoms, physical function, quality of life and adverse events. Studies were screened for risk of bias. Reporting quality was assessed using the Cochrane Risk of Bias Tool (Randomized Controlled Trials [RCT]) and the Joanna Briggs Institute Checklist (Case Series). Effect sizes (Standard mean difference or Standard paired difference) of 0.2, 0.5 and 0.8 were considered as small, medium and large respectively. Overall quality of evidence was rated according to GRADE guidelines.\nResults: Twelve studies (2 RCTs and 10 case series) were included (n=424; males 229). RCTs examined the following interventions: platelet-rich plasma injection (n=1), autologous whole-blood injection (n=1), shockwave therapy (n=1) and multi-modal intervention (n=1). Case series included evaluation of the following interventions: platelet-rich plasma injection (n=3), surgery (n=4), corticosteroid injection (n=2), multi-modal intervention + platelet-rich plasma injection (n=1). Very low-level evidence found shockwave therapy was more effective than a multi-modal intervention, by a large effect on improving symptoms (-3.22 SMD; 95% CI -4.28, -2.16) and physical function (-2.42 SMD; 95% CI-3.33, -1.50) in the long-term. There was very low-level evidence of no difference between autologous whole-blood injection and platelet-rich plasma injection on physical function (0.17 SMD; 95% CI -0.86, 1.21) to (0.24 SMD; 95% CI -0.76, 1.24) and quality of life (-0.04 SMD; 95%CI -1.05, 0.97) in the medium-term. There was very low-quality evidence that surgery resulted in a large reduction in symptoms (-1.89 SPD; 95% CI -2.36, -1.41) to (-6.02 SPD; 95% CI -8.10, -3.94) and physical function (-4.08 SPD; 95%CI -5.53, -2.63) in the long-term.\nConclusions: There is insufficient evidence to recommend any one intervention over another. A pragmatic approach would be to initially trial approaches proven successful in other tendinopathies.\nLevel of evidence: Level 2a.","container-title":"International Journal of Sports Physical Therapy","DOI":"10.26603/001c.21250","ISSN":"2159-2896","issue":"2","journalAbbreviation":"Int J Sports Phys Ther","language":"eng","note":"PMID: 33842025\nPMCID: PMC8016446","page":"288-305","source":"PubMed","title":"Proximal Hamstring Tendinopathy: A Systematic Review of Interventions","title-short":"Proximal Hamstring Tendinopathy","volume":"16","author":[{"family":"Nasser","given":"Anthony Michael"},{"family":"Vicenzino","given":"Bill"},{"family":"Grimaldi","given":"Alison"},{"family":"Anderson","given":"Jay"},{"family":"Semciw","given":"Adam Ivan"}],"issued":{"date-parts":[["2021",4,2]]}}},{"id":57,"uris":["http://zotero.org/users/local/ehxbAYSD/items/G2TY24P6"],"uri":["http://zotero.org/users/local/ehxbAYSD/items/G2TY24P6"],"itemData":{"id":57,"type":"article-journal","abstract":"Objective\n              To investigate the comparative effectiveness of all treatments for patellofemoral pain (PFP).\n            \n            \n              Design\n              Living systematic review with network meta-analysis (NMA).\n            \n            \n              Data sources\n              Sensitive search in seven databases, three grey literature resources and four trial registers.\n            \n            \n              Eligibility criteria\n              Randomised controlled trials evaluating any treatment for PFP with outcomes ‘any improvement’, and pain intensity.\n            \n            \n              Data extraction\n              Two reviewers independently extracted data and assessed risk of bias with Risk of Bias Tool V.2. We used Grading of Recommendations, Assessment, Development and Evaluation to appraise the strength of the evidence.\n            \n            \n              Primary outcome measure\n              ‘Any improvement’ measured with a Global Rating of Change Scale.\n            \n            \n              Results\n              Twenty-two trials (with forty-eight treatment arms) were included, of which approximately 10 (45%) were at high risk of bias for the primary outcome. Most comparisons had a low to very low strength of the evidence. All treatments were better than wait and see for any improvement at 3 months (education (OR 9.6, 95% credible interval (CrI): 2.2 to 48.8); exercise (OR 13.0, 95% CrI: 2.4 to 83.5); education+orthosis (OR 16.5, 95% CrI: 4.9 to 65.8); education+exercise+patellar taping/mobilisations (OR 25.2, 95% CrI: 5.7 to 130.3) and education+exercise+patellar taping/mobilisations+orthosis (OR 38.8, 95% CrI: 7.3 to 236.9)). Education+exercise+patellar taping/mobilisations, with (OR 4.0, 95% CrI: 1.5 to 11.8) or without orthosis (OR 2.6, 95% CrI: 1.7 to 4.2), were superior to education alone. At 12 months, education or education+any combination yielded similar improvement rates.\n            \n            \n              Summary/conclusion\n              Education combined with a physical treatment (exercise, orthoses or patellar taping/mobilisation) is most likely to be effective at 3 months. At 12 months, education appears comparable to education with a physical treatment. There was insufficient evidence to recommend a specific type of physical treatment over another. All treatments in our NMA were superior to wait and see at 3 months, and we recommend avoiding a wait-and-see approach.\n            \n            \n              PROSPERO registeration number\n              PROSPERO registration CRD42018079502.","container-title":"British Journal of Sports Medicine","DOI":"10.1136/bjsports-2020-102819","ISSN":"0306-3674, 1473-0480","issue":"7","journalAbbreviation":"Br J Sports Med","language":"en","page":"369-377","source":"DOI.org (Crossref)","title":"Comparative effectiveness of treatments for patellofemoral pain: a living systematic review with network meta-analysis","title-short":"Comparative effectiveness of treatments for patellofemoral pain","volume":"55","author":[{"family":"Winters","given":"Marinus"},{"family":"Holden","given":"Sinéad"},{"family":"Lura","given":"Carolina Bryne"},{"family":"Welton","given":"Nicky J"},{"family":"Caldwell","given":"Deborah M"},{"family":"Vicenzino","given":"Bill T"},{"family":"Weir","given":"Adam"},{"family":"Rathleff","given":"Michael Skovdal"}],"issued":{"date-parts":[["2021",4]]}}}],"schema":"https://github.com/citation-style-language/schema/raw/master/csl-citation.json"} </w:instrText>
      </w:r>
      <w:r>
        <w:rPr>
          <w:rFonts w:ascii="Calibri" w:eastAsia="Calibri" w:hAnsi="Calibri" w:cs="Calibri"/>
        </w:rPr>
        <w:fldChar w:fldCharType="separate"/>
      </w:r>
      <w:r w:rsidR="004F2B13" w:rsidRPr="004F2B13">
        <w:rPr>
          <w:rFonts w:ascii="Calibri" w:hAnsi="Calibri" w:cs="Calibri"/>
        </w:rPr>
        <w:t>[6,25]</w:t>
      </w:r>
      <w:r>
        <w:rPr>
          <w:rFonts w:ascii="Calibri" w:eastAsia="Calibri" w:hAnsi="Calibri" w:cs="Calibri"/>
        </w:rPr>
        <w:fldChar w:fldCharType="end"/>
      </w:r>
      <w:r w:rsidRPr="46C78BCB">
        <w:rPr>
          <w:rFonts w:ascii="Calibri" w:eastAsia="Calibri" w:hAnsi="Calibri" w:cs="Calibri"/>
        </w:rPr>
        <w:t xml:space="preserve">. The inclusion of very few qualitative studies emphasises the need for further research to fully understand patients’ and practitioners’ perceptions and experiences of exercise for tendinopathy to </w:t>
      </w:r>
      <w:r>
        <w:rPr>
          <w:rFonts w:ascii="Calibri" w:eastAsia="Calibri" w:hAnsi="Calibri" w:cs="Calibri"/>
        </w:rPr>
        <w:t xml:space="preserve">guide intervention development and </w:t>
      </w:r>
      <w:r w:rsidRPr="46C78BCB">
        <w:rPr>
          <w:rFonts w:ascii="Calibri" w:eastAsia="Calibri" w:hAnsi="Calibri" w:cs="Calibri"/>
        </w:rPr>
        <w:t xml:space="preserve">assist with real-world implementation of findings from trials. </w:t>
      </w:r>
    </w:p>
    <w:p w14:paraId="326FE512" w14:textId="77777777" w:rsidR="00EC1E76" w:rsidRDefault="00EC1E76" w:rsidP="0073257F">
      <w:pPr>
        <w:spacing w:line="360" w:lineRule="auto"/>
        <w:rPr>
          <w:i/>
          <w:iCs/>
        </w:rPr>
      </w:pPr>
    </w:p>
    <w:p w14:paraId="09B3BA62" w14:textId="77777777" w:rsidR="00EC1E76" w:rsidRPr="007C2630" w:rsidRDefault="00EC1E76" w:rsidP="0073257F">
      <w:pPr>
        <w:spacing w:line="360" w:lineRule="auto"/>
        <w:rPr>
          <w:i/>
        </w:rPr>
      </w:pPr>
      <w:r w:rsidRPr="46C78BCB">
        <w:rPr>
          <w:i/>
          <w:iCs/>
        </w:rPr>
        <w:t>Exercise for tendinopathy</w:t>
      </w:r>
    </w:p>
    <w:p w14:paraId="4F020915" w14:textId="6E0E3F60" w:rsidR="00EC1E76" w:rsidRDefault="00EC1E76" w:rsidP="0073257F">
      <w:pPr>
        <w:spacing w:line="360" w:lineRule="auto"/>
      </w:pPr>
      <w:r w:rsidRPr="46C78BCB">
        <w:rPr>
          <w:rFonts w:ascii="Calibri" w:eastAsia="Calibri" w:hAnsi="Calibri" w:cs="Calibri"/>
        </w:rPr>
        <w:t>The findings that strengthening exercise was the most commonly reported exercise type across all tendinopathies, particularly the lower limb, and that eccentric strengthening exercise was most common for three tendinopathies (Achilles, patellar, lateral elbow) is in keeping with previous evidence</w:t>
      </w:r>
      <w:r>
        <w:rPr>
          <w:rFonts w:ascii="Calibri" w:eastAsia="Calibri" w:hAnsi="Calibri" w:cs="Calibri"/>
        </w:rPr>
        <w:t xml:space="preserve"> </w:t>
      </w:r>
      <w:r>
        <w:rPr>
          <w:rFonts w:ascii="Calibri" w:eastAsia="Calibri" w:hAnsi="Calibri" w:cs="Calibri"/>
        </w:rPr>
        <w:fldChar w:fldCharType="begin"/>
      </w:r>
      <w:r w:rsidR="004F2B13">
        <w:rPr>
          <w:rFonts w:ascii="Calibri" w:eastAsia="Calibri" w:hAnsi="Calibri" w:cs="Calibri"/>
        </w:rPr>
        <w:instrText xml:space="preserve"> ADDIN ZOTERO_ITEM CSL_CITATION {"citationID":"mon7rueX","properties":{"formattedCitation":"[26]","plainCitation":"[26]","noteIndex":0},"citationItems":[{"id":41,"uris":["http://zotero.org/users/local/ehxbAYSD/items/VCTPW4UT"],"uri":["http://zotero.org/users/local/ehxbAYSD/items/VCTPW4UT"],"itemData":{"id":41,"type":"article-journal","container-title":"Scandinavian Journal of Medicine &amp; Science in Sports","DOI":"10.1111/sms.13734","ISSN":"0905-7188, 1600-0838","issue":"10","journalAbbreviation":"Scand. J. Med. Sci. Sports.","language":"en","page":"1810-1826","source":"DOI.org (Crossref)","title":"Clinical management of tendinopathy: A systematic review of systematic reviews evaluating the effectiveness of tendinopathy treatments","title-short":"Clinical management of tendinopathy","volume":"30","author":[{"family":"Irby","given":"Alyssa"},{"family":"Gutierrez","given":"Jacqueline"},{"family":"Chamberlin","given":"Claressa"},{"family":"Thomas","given":"Stephen J."},{"family":"Rosen","given":"Adam B."}],"issued":{"date-parts":[["2020",10]]}}}],"schema":"https://github.com/citation-style-language/schema/raw/master/csl-citation.json"} </w:instrText>
      </w:r>
      <w:r>
        <w:rPr>
          <w:rFonts w:ascii="Calibri" w:eastAsia="Calibri" w:hAnsi="Calibri" w:cs="Calibri"/>
        </w:rPr>
        <w:fldChar w:fldCharType="separate"/>
      </w:r>
      <w:r w:rsidR="004F2B13" w:rsidRPr="004F2B13">
        <w:rPr>
          <w:rFonts w:ascii="Calibri" w:hAnsi="Calibri" w:cs="Calibri"/>
        </w:rPr>
        <w:t>[26]</w:t>
      </w:r>
      <w:r>
        <w:rPr>
          <w:rFonts w:ascii="Calibri" w:eastAsia="Calibri" w:hAnsi="Calibri" w:cs="Calibri"/>
        </w:rPr>
        <w:fldChar w:fldCharType="end"/>
      </w:r>
      <w:r w:rsidRPr="46C78BCB">
        <w:rPr>
          <w:rFonts w:ascii="Calibri" w:eastAsia="Calibri" w:hAnsi="Calibri" w:cs="Calibri"/>
        </w:rPr>
        <w:t xml:space="preserve">. However, due to highly variable levels of reporting, it would be difficult to determine whether many interventions described as strengthening would in fact lead to the required overload for strengthening to occur; this has implications for both practice and reporting of interventions in future studies. The findings related to RCRSP demonstrated the most clinical heterogeneity, with greater variation in strengthening exercise type, and exercise type </w:t>
      </w:r>
      <w:r w:rsidRPr="46C78BCB">
        <w:rPr>
          <w:rFonts w:ascii="Calibri" w:eastAsia="Calibri" w:hAnsi="Calibri" w:cs="Calibri"/>
          <w:i/>
          <w:iCs/>
        </w:rPr>
        <w:t>per se</w:t>
      </w:r>
      <w:r w:rsidRPr="46C78BCB">
        <w:rPr>
          <w:rFonts w:ascii="Calibri" w:eastAsia="Calibri" w:hAnsi="Calibri" w:cs="Calibri"/>
        </w:rPr>
        <w:t xml:space="preserve">, with flexibility, motor control and proprioceptive exercise reported in addition to strengthening. The shoulder was the only tendinopathy to report the use of dynamic ROM exercise for flexibility more frequently than traditional active or passive stretching. This more nuanced approach to the management of RCRSP </w:t>
      </w:r>
      <w:r w:rsidRPr="46C78BCB">
        <w:rPr>
          <w:rFonts w:ascii="Calibri" w:eastAsia="Calibri" w:hAnsi="Calibri" w:cs="Calibri"/>
        </w:rPr>
        <w:lastRenderedPageBreak/>
        <w:t>may reflect the view that there is, as yet</w:t>
      </w:r>
      <w:r>
        <w:rPr>
          <w:rFonts w:ascii="Calibri" w:eastAsia="Calibri" w:hAnsi="Calibri" w:cs="Calibri"/>
        </w:rPr>
        <w:t>,</w:t>
      </w:r>
      <w:r w:rsidRPr="46C78BCB">
        <w:rPr>
          <w:rFonts w:ascii="Calibri" w:eastAsia="Calibri" w:hAnsi="Calibri" w:cs="Calibri"/>
        </w:rPr>
        <w:t xml:space="preserve"> no consensus on how best to manage this complex tendinopathy</w:t>
      </w:r>
      <w:r>
        <w:rPr>
          <w:rFonts w:ascii="Calibri" w:eastAsia="Calibri" w:hAnsi="Calibri" w:cs="Calibri"/>
        </w:rPr>
        <w:t xml:space="preserve"> </w:t>
      </w:r>
      <w:r>
        <w:rPr>
          <w:rFonts w:ascii="Calibri" w:eastAsia="Calibri" w:hAnsi="Calibri" w:cs="Calibri"/>
        </w:rPr>
        <w:fldChar w:fldCharType="begin"/>
      </w:r>
      <w:r>
        <w:rPr>
          <w:rFonts w:ascii="Calibri" w:eastAsia="Calibri" w:hAnsi="Calibri" w:cs="Calibri"/>
        </w:rPr>
        <w:instrText xml:space="preserve"> ADDIN ZOTERO_ITEM CSL_CITATION {"citationID":"aqQidoxR","properties":{"formattedCitation":"[3,10]","plainCitation":"[3,10]","noteIndex":0},"citationItems":[{"id":45,"uris":["http://zotero.org/users/local/ehxbAYSD/items/7BAK56AH"],"uri":["http://zotero.org/users/local/ehxbAYSD/items/7BAK56AH"],"itemData":{"id":45,"type":"article-journal","container-title":"Musculoskeletal Science and Practice","DOI":"10.1016/j.msksp.2021.102322","ISSN":"24687812","journalAbbreviation":"Musculoskeletal Science and Practice","language":"en","page":"102322","source":"DOI.org (Crossref)","title":"Less than half of patients in secondary care adheres to clinical guidelines for subacromial pain syndrome and have acceptable symptoms after treatment: A Danish nationwide cohort study of 3306 patients","title-short":"Less than half of patients in secondary care adheres to clinical guidelines for subacromial pain syndrome and have acceptable symptoms after treatment","volume":"52","author":[{"family":"Clausen","given":"Mikkel Bek"},{"family":"Merrild","given":"Mikas Bjørn"},{"family":"Holm","given":"Kika"},{"family":"Pedersen","given":"Mads Welling"},{"family":"Andersen","given":"Lars Louis"},{"family":"Zebis","given":"Mette Kreutzfeldt"},{"family":"Jakobsen","given":"Thomas Linding"},{"family":"Thorborg","given":"Kristian"}],"issued":{"date-parts":[["2021",4]]}}},{"id":51,"uris":["http://zotero.org/users/local/ehxbAYSD/items/ZMUTKA5M"],"uri":["http://zotero.org/users/local/ehxbAYSD/items/ZMUTKA5M"],"itemData":{"id":51,"type":"article-journal","abstract":"Objective:\n              Synthesize evidence regarding effectiveness of progressive and resisted or non-progressive and non-resisted exercise compared with placebo or no treatment, in rotator cuff related pain.\n            \n            \n              Data sources:\n              English articles, searched in Cochrane CENTRAL, MEDLINE, EMBASE and CINAHL databases up until May 19, 2020.\n            \n            \n              Methods:\n              Randomized controlled trials in people with rotator cuff related pain comparing either progressive and resisted exercise or non-progressive and non-resisted exercise, with placebo or no treatment were included. Data extracted independently by two authors. Risk of bias appraised with the Cochrane Collaboration tool.\n            \n            \n              Results:\n              Seven trials (468 participants) were included, four trials (271 participants) included progressive and resisted exercise and three trials (197 participants) included non-progressive or non-resisted exercise. There was uncertain clinical benefit for composite pain and function (15 point difference, 95% CI 9 to 21, 100-point scale) and pain outcomes at &gt;6 weeks to 6 months with progressive and resisted exercise compared to placebo or no treatment (comparison 1). For non-progressive or non-resisted exercise there was no significant benefit for composite pain and function (4 point difference, 95% CI −2 to 9, 100-point scale) and pain outcomes at &gt;6 weeks to 6 months compared to placebo or no treatment (comparison 2). Adverse events were seldom reported and mild.\n            \n            \n              Conclusions:\n              There is uncertain clinical benefit for all outcomes with progressive and resisted exercise and no significant benefit with non-progressive and non-resisted exercise, versus no treatment or placebo at &gt;6 weeks to 6 months. Findings are low certainty and should be interpreted with caution.","container-title":"Clinical Rehabilitation","DOI":"10.1177/0269215520934147","ISSN":"0269-2155, 1477-0873","issue":"9","journalAbbreviation":"Clin Rehabil","language":"en","page":"1198-1216","source":"DOI.org (Crossref)","title":"Effectiveness of progressive and resisted and non-progressive or non-resisted exercise in rotator cuff related shoulder pain: a systematic review and meta-analysis of randomized controlled trials","title-short":"Effectiveness of progressive and resisted and non-progressive or non-resisted exercise in rotator cuff related shoulder pain","volume":"34","author":[{"family":"Naunton","given":"Josh"},{"family":"Street","given":"Gabrielle"},{"family":"Littlewood","given":"Chris"},{"family":"Haines","given":"Terrence"},{"family":"Malliaras","given":"Peter"}],"issued":{"date-parts":[["2020",9]]}}}],"schema":"https://github.com/citation-style-language/schema/raw/master/csl-citation.json"} </w:instrText>
      </w:r>
      <w:r>
        <w:rPr>
          <w:rFonts w:ascii="Calibri" w:eastAsia="Calibri" w:hAnsi="Calibri" w:cs="Calibri"/>
        </w:rPr>
        <w:fldChar w:fldCharType="separate"/>
      </w:r>
      <w:r w:rsidRPr="00860BF2">
        <w:rPr>
          <w:rFonts w:ascii="Calibri" w:hAnsi="Calibri" w:cs="Calibri"/>
        </w:rPr>
        <w:t>[3,10]</w:t>
      </w:r>
      <w:r>
        <w:rPr>
          <w:rFonts w:ascii="Calibri" w:eastAsia="Calibri" w:hAnsi="Calibri" w:cs="Calibri"/>
        </w:rPr>
        <w:fldChar w:fldCharType="end"/>
      </w:r>
      <w:r w:rsidRPr="46C78BCB">
        <w:rPr>
          <w:rFonts w:ascii="Calibri" w:eastAsia="Calibri" w:hAnsi="Calibri" w:cs="Calibri"/>
        </w:rPr>
        <w:t xml:space="preserve">.     </w:t>
      </w:r>
    </w:p>
    <w:p w14:paraId="1C234F69" w14:textId="75809B8B" w:rsidR="00EC1E76" w:rsidRDefault="00EC1E76" w:rsidP="0073257F">
      <w:pPr>
        <w:spacing w:line="360" w:lineRule="auto"/>
      </w:pPr>
      <w:r w:rsidRPr="003A58C3">
        <w:t>Reporting of interventions was highly variable, with 15% or fewer included interventions classed as fully reproducible</w:t>
      </w:r>
      <w:r w:rsidR="00A80B84">
        <w:t xml:space="preserve"> using the </w:t>
      </w:r>
      <w:proofErr w:type="spellStart"/>
      <w:r w:rsidR="00A80B84">
        <w:t>TIDieR</w:t>
      </w:r>
      <w:proofErr w:type="spellEnd"/>
      <w:r w:rsidR="00A80B84">
        <w:t xml:space="preserve"> checklist</w:t>
      </w:r>
      <w:r w:rsidRPr="003A58C3">
        <w:t xml:space="preserve">. This finding has implications for practice, as it would be challenging, if not impossible, for practitioners to adopt interventions demonstrated as effective in research studies. This may result in suboptimal exercise prescription and patient outcomes. This finding also supports the call for clear and transparent reporting of tendinopathy interventions, using available reporting guidelines such as </w:t>
      </w:r>
      <w:proofErr w:type="spellStart"/>
      <w:r w:rsidRPr="003A58C3">
        <w:t>TIDieR</w:t>
      </w:r>
      <w:proofErr w:type="spellEnd"/>
      <w:r w:rsidRPr="003A58C3">
        <w:t xml:space="preserve"> to assist the process</w:t>
      </w:r>
      <w:r>
        <w:t xml:space="preserve"> </w:t>
      </w:r>
      <w:r>
        <w:fldChar w:fldCharType="begin"/>
      </w:r>
      <w:r w:rsidR="004F2B13">
        <w:instrText xml:space="preserve"> ADDIN ZOTERO_ITEM CSL_CITATION {"citationID":"VU5x1NAw","properties":{"formattedCitation":"[25,27]","plainCitation":"[25,27]","noteIndex":0},"citationItems":[{"id":57,"uris":["http://zotero.org/users/local/ehxbAYSD/items/G2TY24P6"],"uri":["http://zotero.org/users/local/ehxbAYSD/items/G2TY24P6"],"itemData":{"id":57,"type":"article-journal","abstract":"Objective\n              To investigate the comparative effectiveness of all treatments for patellofemoral pain (PFP).\n            \n            \n              Design\n              Living systematic review with network meta-analysis (NMA).\n            \n            \n              Data sources\n              Sensitive search in seven databases, three grey literature resources and four trial registers.\n            \n            \n              Eligibility criteria\n              Randomised controlled trials evaluating any treatment for PFP with outcomes ‘any improvement’, and pain intensity.\n            \n            \n              Data extraction\n              Two reviewers independently extracted data and assessed risk of bias with Risk of Bias Tool V.2. We used Grading of Recommendations, Assessment, Development and Evaluation to appraise the strength of the evidence.\n            \n            \n              Primary outcome measure\n              ‘Any improvement’ measured with a Global Rating of Change Scale.\n            \n            \n              Results\n              Twenty-two trials (with forty-eight treatment arms) were included, of which approximately 10 (45%) were at high risk of bias for the primary outcome. Most comparisons had a low to very low strength of the evidence. All treatments were better than wait and see for any improvement at 3 months (education (OR 9.6, 95% credible interval (CrI): 2.2 to 48.8); exercise (OR 13.0, 95% CrI: 2.4 to 83.5); education+orthosis (OR 16.5, 95% CrI: 4.9 to 65.8); education+exercise+patellar taping/mobilisations (OR 25.2, 95% CrI: 5.7 to 130.3) and education+exercise+patellar taping/mobilisations+orthosis (OR 38.8, 95% CrI: 7.3 to 236.9)). Education+exercise+patellar taping/mobilisations, with (OR 4.0, 95% CrI: 1.5 to 11.8) or without orthosis (OR 2.6, 95% CrI: 1.7 to 4.2), were superior to education alone. At 12 months, education or education+any combination yielded similar improvement rates.\n            \n            \n              Summary/conclusion\n              Education combined with a physical treatment (exercise, orthoses or patellar taping/mobilisation) is most likely to be effective at 3 months. At 12 months, education appears comparable to education with a physical treatment. There was insufficient evidence to recommend a specific type of physical treatment over another. All treatments in our NMA were superior to wait and see at 3 months, and we recommend avoiding a wait-and-see approach.\n            \n            \n              PROSPERO registeration number\n              PROSPERO registration CRD42018079502.","container-title":"British Journal of Sports Medicine","DOI":"10.1136/bjsports-2020-102819","ISSN":"0306-3674, 1473-0480","issue":"7","journalAbbreviation":"Br J Sports Med","language":"en","page":"369-377","source":"DOI.org (Crossref)","title":"Comparative effectiveness of treatments for patellofemoral pain: a living systematic review with network meta-analysis","title-short":"Comparative effectiveness of treatments for patellofemoral pain","volume":"55","author":[{"family":"Winters","given":"Marinus"},{"family":"Holden","given":"Sinéad"},{"family":"Lura","given":"Carolina Bryne"},{"family":"Welton","given":"Nicky J"},{"family":"Caldwell","given":"Deborah M"},{"family":"Vicenzino","given":"Bill T"},{"family":"Weir","given":"Adam"},{"family":"Rathleff","given":"Michael Skovdal"}],"issued":{"date-parts":[["2021",4]]}}},{"id":42,"uris":["http://zotero.org/users/local/ehxbAYSD/items/8S9U3UE2"],"uri":["http://zotero.org/users/local/ehxbAYSD/items/8S9U3UE2"],"itemData":{"id":42,"type":"article-journal","abstract":"Background\n              Exercise interventions are frequently recommended for patients with rotator cuff disease, but poor content reporting in clinical trials of exercise limits interpretation and replication of trials and clinicians’ ability to deliver effective exercise protocols. The Consensus on Exercise Reporting Template (CERT) was developed to address this problem.\n            \n            \n              Objective\n              To assess completeness of content reporting of exercise interventions in randomised controlled trials for patients with rotator cuff disease and the inter-rater reliability of the CERT.\n            \n            \n              Design\n              Critical appraisal.\n            \n            \n              Methods\n              Independent pairs of reviewers applied the CERT to all 34 exercise trials from the most recent Cochrane Review evaluating the effect of manual therapy and exercise for patients with rotator cuff disease. We used the CERT Explanation and Elaboration Statement to guide assessment of whether each of the 19-item criteria were clearly described (score 0–19; higher scores indicate better reporting). Percentage agreement and the prevalence and bias adjusted kappa (PABAK) coefficient were used to measure inter-rater reliability.\n            \n            \n              Results\n              The median CERT score was 5 (range 0–16). Percentage agreement was high for 15 items and acceptable for 4 items. The PABAK coefficient indicated excellent (5 items), substantial (11 items) and moderate (3 items) inter-rater agreement.\n            \n            \n              Conclusion\n              The description of exercise interventions for patients with rotator cuff disease in published trials is poorly reported. Overall, the inter-rater reliability of the CERT is high/acceptable. We strongly encourage journals to mandate use of the CERT for papers reporting trial protocols and results investigating exercise interventions.","container-title":"BMJ Open Sport &amp; Exercise Medicine","DOI":"10.1136/bmjsem-2019-000656","ISSN":"2055-7647","issue":"1","journalAbbreviation":"BMJ Open Sport Exerc Med","language":"en","page":"e000656","source":"DOI.org (Crossref)","title":"Content reporting of exercise interventions in rotator cuff disease trials: results from application of the Consensus on Exercise Reporting Template (CERT)","title-short":"Content reporting of exercise interventions in rotator cuff disease trials","volume":"5","author":[{"family":"Major","given":"Daniel H"},{"family":"Røe","given":"Yngve"},{"family":"Grotle","given":"Margreth"},{"family":"Jessup","given":"Rebecca L"},{"family":"Farmer","given":"Caitlin"},{"family":"Småstuen","given":"Milada Cvancarova"},{"family":"Buchbinder","given":"Rachelle"}],"issued":{"date-parts":[["2019",12]]}}}],"schema":"https://github.com/citation-style-language/schema/raw/master/csl-citation.json"} </w:instrText>
      </w:r>
      <w:r>
        <w:fldChar w:fldCharType="separate"/>
      </w:r>
      <w:r w:rsidR="004F2B13" w:rsidRPr="004F2B13">
        <w:rPr>
          <w:rFonts w:ascii="Calibri" w:hAnsi="Calibri" w:cs="Calibri"/>
        </w:rPr>
        <w:t>[25,27]</w:t>
      </w:r>
      <w:r>
        <w:fldChar w:fldCharType="end"/>
      </w:r>
      <w:r w:rsidRPr="003A58C3">
        <w:t>.</w:t>
      </w:r>
      <w:r>
        <w:t xml:space="preserve"> </w:t>
      </w:r>
    </w:p>
    <w:p w14:paraId="11AA2E63" w14:textId="22F60A32" w:rsidR="00EC1E76" w:rsidRDefault="00EC1E76" w:rsidP="0073257F">
      <w:pPr>
        <w:spacing w:line="360" w:lineRule="auto"/>
      </w:pPr>
      <w:r w:rsidRPr="005516A0">
        <w:t>Adherence was reported in only 20% of included primary studies, despite the intention to collect adherence measures being reported in 35%</w:t>
      </w:r>
      <w:r w:rsidR="00A80B84">
        <w:t xml:space="preserve"> of studies</w:t>
      </w:r>
      <w:r w:rsidRPr="005516A0">
        <w:t xml:space="preserve">, which is similar to previous adherence reports </w:t>
      </w:r>
      <w:r>
        <w:t xml:space="preserve">three decades ago </w:t>
      </w:r>
      <w:r>
        <w:fldChar w:fldCharType="begin"/>
      </w:r>
      <w:r w:rsidR="004F2B13">
        <w:instrText xml:space="preserve"> ADDIN ZOTERO_ITEM CSL_CITATION {"citationID":"FgELtFE7","properties":{"formattedCitation":"[28]","plainCitation":"[28]","noteIndex":0},"citationItems":[{"id":53,"uris":["http://zotero.org/users/local/ehxbAYSD/items/V98XZQJH"],"uri":["http://zotero.org/users/local/ehxbAYSD/items/V98XZQJH"],"itemData":{"id":53,"type":"article-journal","container-title":"Physical Therapy","DOI":"10.1093/ptj/73.11.771","ISSN":"0031-9023, 1538-6724","issue":"11","language":"en","page":"771-782","source":"DOI.org (Crossref)","title":"Correlates of Exercise Compliance in Physical Therapy","volume":"73","author":[{"family":"Sluijs","given":"Emmy M"},{"family":"Kok","given":"Gerjo J"},{"family":"Zee","given":"Jouke","non-dropping-particle":"van der"}],"issued":{"date-parts":[["1993",11,1]]}}}],"schema":"https://github.com/citation-style-language/schema/raw/master/csl-citation.json"} </w:instrText>
      </w:r>
      <w:r>
        <w:fldChar w:fldCharType="separate"/>
      </w:r>
      <w:r w:rsidR="004F2B13" w:rsidRPr="004F2B13">
        <w:rPr>
          <w:rFonts w:ascii="Calibri" w:hAnsi="Calibri" w:cs="Calibri"/>
        </w:rPr>
        <w:t>[28]</w:t>
      </w:r>
      <w:r>
        <w:fldChar w:fldCharType="end"/>
      </w:r>
      <w:r w:rsidRPr="005516A0">
        <w:t>. Adherence monitoring relied primarily on a range of participant self-report instruments with wide variation in scoring methods, which would make pooling of adherence data challenging.  Although practical, there are widely documented limitations to these types of measures for reporting exercise adherence</w:t>
      </w:r>
      <w:r>
        <w:t>. F</w:t>
      </w:r>
      <w:r w:rsidRPr="005516A0">
        <w:t>uture research should consider including more accurate objective measurement of exercise and strategies to address non-compliance</w:t>
      </w:r>
      <w:r>
        <w:t xml:space="preserve"> </w:t>
      </w:r>
      <w:r>
        <w:fldChar w:fldCharType="begin"/>
      </w:r>
      <w:r w:rsidR="004F2B13">
        <w:instrText xml:space="preserve"> ADDIN ZOTERO_ITEM CSL_CITATION {"citationID":"opNj04C8","properties":{"formattedCitation":"[29]","plainCitation":"[29]","noteIndex":0},"citationItems":[{"id":54,"uris":["http://zotero.org/users/local/ehxbAYSD/items/U4S2KH9U"],"uri":["http://zotero.org/users/local/ehxbAYSD/items/U4S2KH9U"],"itemData":{"id":54,"type":"article-journal","container-title":"Controlled Clinical Trials","DOI":"10.1016/j.cct.2004.07.003","ISSN":"01972456","issue":"5","journalAbbreviation":"Controlled Clinical Trials","language":"en","page":"447-457","source":"DOI.org (Crossref)","title":"Challenges and innovations in enhancing adherence","volume":"25","author":[{"family":"Mihalko","given":"Shannon L."},{"family":"Brenes","given":"Gretchen A."},{"family":"Farmer","given":"Deborah F."},{"family":"Katula","given":"Jeffrey A."},{"family":"Balkrishnan","given":"Rajesh"},{"family":"Bowen","given":"Deborah J."}],"issued":{"date-parts":[["2004",10]]}}}],"schema":"https://github.com/citation-style-language/schema/raw/master/csl-citation.json"} </w:instrText>
      </w:r>
      <w:r>
        <w:fldChar w:fldCharType="separate"/>
      </w:r>
      <w:r w:rsidR="004F2B13" w:rsidRPr="004F2B13">
        <w:rPr>
          <w:rFonts w:ascii="Calibri" w:hAnsi="Calibri" w:cs="Calibri"/>
        </w:rPr>
        <w:t>[29]</w:t>
      </w:r>
      <w:r>
        <w:fldChar w:fldCharType="end"/>
      </w:r>
      <w:r w:rsidRPr="005516A0">
        <w:t xml:space="preserve">. Around half of the studies included personalised tailoring of exercise guided by pain, in keeping with the evidence that adherence to interventions that require exercising into or through pain (e.g., </w:t>
      </w:r>
      <w:proofErr w:type="spellStart"/>
      <w:r w:rsidRPr="005516A0">
        <w:t>Alfredson</w:t>
      </w:r>
      <w:proofErr w:type="spellEnd"/>
      <w:r w:rsidRPr="005516A0">
        <w:t xml:space="preserve"> protocol) will typically be lower</w:t>
      </w:r>
      <w:r>
        <w:t xml:space="preserve"> </w:t>
      </w:r>
      <w:r>
        <w:fldChar w:fldCharType="begin"/>
      </w:r>
      <w:r w:rsidR="004F2B13">
        <w:instrText xml:space="preserve"> ADDIN ZOTERO_ITEM CSL_CITATION {"citationID":"gWUFMB5w","properties":{"formattedCitation":"[30]","plainCitation":"[30]","noteIndex":0},"citationItems":[{"id":44,"uris":["http://zotero.org/users/local/ehxbAYSD/items/GR3C9W9U"],"uri":["http://zotero.org/users/local/ehxbAYSD/items/GR3C9W9U"],"itemData":{"id":44,"type":"article-journal","container-title":"The Clinical Journal of Pain","DOI":"10.1097/AJP.0000000000000235","ISSN":"0749-8047","issue":"2","language":"en","page":"164-178","source":"DOI.org (Crossref)","title":"Do Pain-related Beliefs Influence Adherence to Multidisciplinary Rehabilitation?: A Systematic Review","title-short":"Do Pain-related Beliefs Influence Adherence to Multidisciplinary Rehabilitation?","volume":"32","author":[{"family":"Thompson","given":"Emma L."},{"family":"Broadbent","given":"Jaclyn"},{"family":"Bertino","given":"Melanie D."},{"family":"Staiger","given":"Petra K."}],"issued":{"date-parts":[["2016",2]]}}}],"schema":"https://github.com/citation-style-language/schema/raw/master/csl-citation.json"} </w:instrText>
      </w:r>
      <w:r>
        <w:fldChar w:fldCharType="separate"/>
      </w:r>
      <w:r w:rsidR="004F2B13" w:rsidRPr="004F2B13">
        <w:rPr>
          <w:rFonts w:ascii="Calibri" w:hAnsi="Calibri" w:cs="Calibri"/>
        </w:rPr>
        <w:t>[30]</w:t>
      </w:r>
      <w:r>
        <w:fldChar w:fldCharType="end"/>
      </w:r>
      <w:r w:rsidRPr="005516A0">
        <w:t>. The small body of included qualitative studies suggest that there are several barriers to adherence (e.g., treatment burden, pain, psychosocial factors, motivation, </w:t>
      </w:r>
      <w:r w:rsidR="00B06074" w:rsidRPr="005516A0">
        <w:t>confidence,</w:t>
      </w:r>
      <w:r w:rsidRPr="005516A0">
        <w:t xml:space="preserve"> and coping); these are important issues that affect implementation and patient </w:t>
      </w:r>
      <w:r w:rsidR="00C00C75" w:rsidRPr="005516A0">
        <w:t>outcomes</w:t>
      </w:r>
      <w:r w:rsidR="00C00C75">
        <w:t xml:space="preserve"> and</w:t>
      </w:r>
      <w:r w:rsidRPr="005516A0">
        <w:t xml:space="preserve"> should be further explored in future research.  </w:t>
      </w:r>
    </w:p>
    <w:p w14:paraId="59C241F1" w14:textId="77777777" w:rsidR="00EC1E76" w:rsidRDefault="00EC1E76" w:rsidP="0073257F">
      <w:pPr>
        <w:spacing w:line="360" w:lineRule="auto"/>
      </w:pPr>
    </w:p>
    <w:p w14:paraId="48C24B21" w14:textId="77777777" w:rsidR="00EC1E76" w:rsidRPr="007C2630" w:rsidRDefault="00EC1E76" w:rsidP="0073257F">
      <w:pPr>
        <w:spacing w:line="360" w:lineRule="auto"/>
        <w:rPr>
          <w:i/>
        </w:rPr>
      </w:pPr>
      <w:r>
        <w:rPr>
          <w:i/>
        </w:rPr>
        <w:t>Outcomes</w:t>
      </w:r>
    </w:p>
    <w:p w14:paraId="60C90F8C" w14:textId="18964E34" w:rsidR="00EC1E76" w:rsidRPr="005516A0" w:rsidRDefault="00EC1E76" w:rsidP="0073257F">
      <w:pPr>
        <w:spacing w:line="360" w:lineRule="auto"/>
      </w:pPr>
      <w:r w:rsidRPr="005516A0">
        <w:t xml:space="preserve">The finding that numerous primary (335) and secondary (194) outcomes were reported across </w:t>
      </w:r>
      <w:r>
        <w:t>a range of 22</w:t>
      </w:r>
      <w:r w:rsidRPr="005516A0">
        <w:t xml:space="preserve"> health domains highlights the lack of consensus to date on outcome measurement for tendinopathy. This makes generation of recommendations and practice guidelines in this field challenging, due to the difficulties of pooling such heterogeneous data. The work of Vicenzino et al</w:t>
      </w:r>
      <w:r>
        <w:t>.</w:t>
      </w:r>
      <w:r w:rsidRPr="005516A0">
        <w:t xml:space="preserve"> </w:t>
      </w:r>
      <w:r>
        <w:fldChar w:fldCharType="begin"/>
      </w:r>
      <w:r>
        <w:instrText xml:space="preserve"> ADDIN ZOTERO_ITEM CSL_CITATION {"citationID":"jjPxyXLh","properties":{"formattedCitation":"[19]","plainCitation":"[19]","noteIndex":0},"citationItems":[{"id":31,"uris":["http://zotero.org/users/local/ehxbAYSD/items/C5J9CUEH"],"uri":["http://zotero.org/users/local/ehxbAYSD/items/C5J9CUEH"],"itemData":{"id":31,"type":"article-journal","abstract":"Background\n              \n                The absence of any agreed-upon tendon health-related domains hampers advances in clinical tendinopathy research. This void means that researchers report a very wide range of outcome measures inconsistently. As a result, substantial synthesis/meta-analysis of tendon research findings is almost futile despite researchers publishing busily. We aimed to determine options for, and then define, core health-related\n                domains\n                for tendinopathy.\n              \n            \n            \n              Methods\n              \n                We conducted a Delphi study of healthcare professionals (HCP) and patients in a three-stage process. In stage 1, we extracted candidate domains from clinical trial reports and developed an online survey. Survey items took the form: ‘The ‘\n                candidate domain’\n                is important enough to be included as a core health-related domain of tendinopathy’; response options were: agree, disagree, or unsure. In stage 2, we administered the online survey and reported the findings. Stage 3 consisted of discussions of the findings of the survey at the ICON (International Scientific Tendinopathy Symposium Consensus) meeting. We set 70% participant agreement as the level required for a domain to be considered ‘core’; similarly, 70% agreement was required for a domain to be relegated to ‘not core’ (see Results next).\n              \n            \n            \n              Results\n              \n                Twenty-eight HCP (92% of whom had &gt;10 years of tendinopathy experience, 71% consulted &gt;10 cases per month) and 32 patients completed the online survey. Fifteen HCP and two patients attended the consensus meeting. Of an original set of 24 candidate domains, the ICON group deemed nine domains to be core. These were: (1) patient rating of condition, (2) participation in life activities (day to day, work, sport), (3) pain on activity/loading, (4) function, (5) psychological factors, (6) physical function capacity, (7) disability, (8) quality of life and (9) pain over a specified time. Two of these (2, 6) were an amalgamation of five candidate domains. We agreed that seven other candidate domains\n                were not\n                core domains: range of motion, pain on clinician applied test, clinical examination, palpation, drop out, sensory modality pain and pain without other specification. We were undecided on the other five candidate domains of physical activity, structure, medication use, adverse effects and economic impact.\n              \n            \n            \n              Conclusion\n              Nine core domains for tendon research should guide reporting of outcomes in clinical trials. Further research should determine the best outcome measures for each specific tendinopathy (ie, core outcome sets).","container-title":"British Journal of Sports Medicine","DOI":"10.1136/bjsports-2019-100894","ISSN":"0306-3674, 1473-0480","issue":"8","journalAbbreviation":"Br J Sports Med","language":"en","page":"444-451","source":"DOI.org (Crossref)","title":"ICON 2019—International Scientific Tendinopathy Symposium Consensus: There are nine core health-related domains for tendinopathy (CORE DOMAINS): Delphi study of healthcare professionals and patients","title-short":"ICON 2019—International Scientific Tendinopathy Symposium Consensus","volume":"54","author":[{"family":"Vicenzino","given":"Bill"},{"family":"Vos","given":"Robert-Jan","non-dropping-particle":"de"},{"family":"Alfredson","given":"Hakan"},{"family":"Bahr","given":"Roald"},{"family":"Cook","given":"Jill L"},{"family":"Coombes","given":"Brooke K"},{"family":"Fu","given":"Siu Ngor"},{"family":"Gravare Silbernagel","given":"Karin"},{"family":"Grimaldi","given":"Alison"},{"family":"Lewis","given":"Jeremy S"},{"family":"Maffulli","given":"Nicola"},{"family":"Magnusson","given":"Sp"},{"family":"Malliaras","given":"Peter"},{"family":"Mc Auliffe","given":"Sean"},{"family":"Oei","given":"Edwin H G"},{"family":"Purdam","given":"Craig"},{"family":"Rees","given":"Jonathan D"},{"family":"Rio","given":"Ebonie Kendra"},{"family":"Scott","given":"Alex"},{"family":"Speed","given":"Cathy"},{"family":"Akker-Scheek","given":"Inge","dropping-particle":"van den"},{"family":"Weir","given":"Adam"},{"family":"Wolf","given":"Jennifer Moriatis"},{"family":"Zwerver","given":"Johannes"}],"issued":{"date-parts":[["2020",4]]}}}],"schema":"https://github.com/citation-style-language/schema/raw/master/csl-citation.json"} </w:instrText>
      </w:r>
      <w:r>
        <w:fldChar w:fldCharType="separate"/>
      </w:r>
      <w:r w:rsidRPr="00141AB6">
        <w:rPr>
          <w:rFonts w:ascii="Calibri" w:hAnsi="Calibri" w:cs="Calibri"/>
        </w:rPr>
        <w:t>[19]</w:t>
      </w:r>
      <w:r>
        <w:fldChar w:fldCharType="end"/>
      </w:r>
      <w:r w:rsidRPr="005516A0">
        <w:t xml:space="preserve"> should reduce such heterogeneity in future tendinopathy research; however, it will take some time for this to be realised. Although nine core health-related domains for tendinopathy were recommended in the ICON consensus statement</w:t>
      </w:r>
      <w:r>
        <w:t xml:space="preserve"> </w:t>
      </w:r>
      <w:r>
        <w:fldChar w:fldCharType="begin"/>
      </w:r>
      <w:r>
        <w:instrText xml:space="preserve"> ADDIN ZOTERO_ITEM CSL_CITATION {"citationID":"HInP6EmV","properties":{"formattedCitation":"[19]","plainCitation":"[19]","noteIndex":0},"citationItems":[{"id":31,"uris":["http://zotero.org/users/local/ehxbAYSD/items/C5J9CUEH"],"uri":["http://zotero.org/users/local/ehxbAYSD/items/C5J9CUEH"],"itemData":{"id":31,"type":"article-journal","abstract":"Background\n              \n                The absence of any agreed-upon tendon health-related domains hampers advances in clinical tendinopathy research. This void means that researchers report a very wide range of outcome measures inconsistently. As a result, substantial synthesis/meta-analysis of tendon research findings is almost futile despite researchers publishing busily. We aimed to determine options for, and then define, core health-related\n                domains\n                for tendinopathy.\n              \n            \n            \n              Methods\n              \n                We conducted a Delphi study of healthcare professionals (HCP) and patients in a three-stage process. In stage 1, we extracted candidate domains from clinical trial reports and developed an online survey. Survey items took the form: ‘The ‘\n                candidate domain’\n                is important enough to be included as a core health-related domain of tendinopathy’; response options were: agree, disagree, or unsure. In stage 2, we administered the online survey and reported the findings. Stage 3 consisted of discussions of the findings of the survey at the ICON (International Scientific Tendinopathy Symposium Consensus) meeting. We set 70% participant agreement as the level required for a domain to be considered ‘core’; similarly, 70% agreement was required for a domain to be relegated to ‘not core’ (see Results next).\n              \n            \n            \n              Results\n              \n                Twenty-eight HCP (92% of whom had &gt;10 years of tendinopathy experience, 71% consulted &gt;10 cases per month) and 32 patients completed the online survey. Fifteen HCP and two patients attended the consensus meeting. Of an original set of 24 candidate domains, the ICON group deemed nine domains to be core. These were: (1) patient rating of condition, (2) participation in life activities (day to day, work, sport), (3) pain on activity/loading, (4) function, (5) psychological factors, (6) physical function capacity, (7) disability, (8) quality of life and (9) pain over a specified time. Two of these (2, 6) were an amalgamation of five candidate domains. We agreed that seven other candidate domains\n                were not\n                core domains: range of motion, pain on clinician applied test, clinical examination, palpation, drop out, sensory modality pain and pain without other specification. We were undecided on the other five candidate domains of physical activity, structure, medication use, adverse effects and economic impact.\n              \n            \n            \n              Conclusion\n              Nine core domains for tendon research should guide reporting of outcomes in clinical trials. Further research should determine the best outcome measures for each specific tendinopathy (ie, core outcome sets).","container-title":"British Journal of Sports Medicine","DOI":"10.1136/bjsports-2019-100894","ISSN":"0306-3674, 1473-0480","issue":"8","journalAbbreviation":"Br J Sports Med","language":"en","page":"444-451","source":"DOI.org (Crossref)","title":"ICON 2019—International Scientific Tendinopathy Symposium Consensus: There are nine core health-related domains for tendinopathy (CORE DOMAINS): Delphi study of healthcare professionals and patients","title-short":"ICON 2019—International Scientific Tendinopathy Symposium Consensus","volume":"54","author":[{"family":"Vicenzino","given":"Bill"},{"family":"Vos","given":"Robert-Jan","non-dropping-particle":"de"},{"family":"Alfredson","given":"Hakan"},{"family":"Bahr","given":"Roald"},{"family":"Cook","given":"Jill L"},{"family":"Coombes","given":"Brooke K"},{"family":"Fu","given":"Siu Ngor"},{"family":"Gravare Silbernagel","given":"Karin"},{"family":"Grimaldi","given":"Alison"},{"family":"Lewis","given":"Jeremy S"},{"family":"Maffulli","given":"Nicola"},{"family":"Magnusson","given":"Sp"},{"family":"Malliaras","given":"Peter"},{"family":"Mc Auliffe","given":"Sean"},{"family":"Oei","given":"Edwin H G"},{"family":"Purdam","given":"Craig"},{"family":"Rees","given":"Jonathan D"},{"family":"Rio","given":"Ebonie Kendra"},{"family":"Scott","given":"Alex"},{"family":"Speed","given":"Cathy"},{"family":"Akker-Scheek","given":"Inge","dropping-particle":"van den"},{"family":"Weir","given":"Adam"},{"family":"Wolf","given":"Jennifer Moriatis"},{"family":"Zwerver","given":"Johannes"}],"issued":{"date-parts":[["2020",4]]}}}],"schema":"https://github.com/citation-style-language/schema/raw/master/csl-citation.json"} </w:instrText>
      </w:r>
      <w:r>
        <w:fldChar w:fldCharType="separate"/>
      </w:r>
      <w:r w:rsidRPr="00141AB6">
        <w:rPr>
          <w:rFonts w:ascii="Calibri" w:hAnsi="Calibri" w:cs="Calibri"/>
        </w:rPr>
        <w:t>[19]</w:t>
      </w:r>
      <w:r>
        <w:fldChar w:fldCharType="end"/>
      </w:r>
      <w:r w:rsidRPr="005516A0">
        <w:t xml:space="preserve">, we found it necessary to map outcomes to the 24 domains considered at stage 1 of the ICON Delphi process in order to fully map all the measures and domains reported in our included studies. Our findings indicate that there is a wide gap between </w:t>
      </w:r>
      <w:r w:rsidRPr="005516A0">
        <w:lastRenderedPageBreak/>
        <w:t xml:space="preserve">outcomes reported in the evidence base and those currently recommended. For example, ROM was the second most commonly reported domain for RCRSP, yet is not considered a core domain by ICON </w:t>
      </w:r>
      <w:r>
        <w:fldChar w:fldCharType="begin"/>
      </w:r>
      <w:r>
        <w:instrText xml:space="preserve"> ADDIN ZOTERO_ITEM CSL_CITATION {"citationID":"FT5hu8Lv","properties":{"formattedCitation":"[19]","plainCitation":"[19]","noteIndex":0},"citationItems":[{"id":31,"uris":["http://zotero.org/users/local/ehxbAYSD/items/C5J9CUEH"],"uri":["http://zotero.org/users/local/ehxbAYSD/items/C5J9CUEH"],"itemData":{"id":31,"type":"article-journal","abstract":"Background\n              \n                The absence of any agreed-upon tendon health-related domains hampers advances in clinical tendinopathy research. This void means that researchers report a very wide range of outcome measures inconsistently. As a result, substantial synthesis/meta-analysis of tendon research findings is almost futile despite researchers publishing busily. We aimed to determine options for, and then define, core health-related\n                domains\n                for tendinopathy.\n              \n            \n            \n              Methods\n              \n                We conducted a Delphi study of healthcare professionals (HCP) and patients in a three-stage process. In stage 1, we extracted candidate domains from clinical trial reports and developed an online survey. Survey items took the form: ‘The ‘\n                candidate domain’\n                is important enough to be included as a core health-related domain of tendinopathy’; response options were: agree, disagree, or unsure. In stage 2, we administered the online survey and reported the findings. Stage 3 consisted of discussions of the findings of the survey at the ICON (International Scientific Tendinopathy Symposium Consensus) meeting. We set 70% participant agreement as the level required for a domain to be considered ‘core’; similarly, 70% agreement was required for a domain to be relegated to ‘not core’ (see Results next).\n              \n            \n            \n              Results\n              \n                Twenty-eight HCP (92% of whom had &gt;10 years of tendinopathy experience, 71% consulted &gt;10 cases per month) and 32 patients completed the online survey. Fifteen HCP and two patients attended the consensus meeting. Of an original set of 24 candidate domains, the ICON group deemed nine domains to be core. These were: (1) patient rating of condition, (2) participation in life activities (day to day, work, sport), (3) pain on activity/loading, (4) function, (5) psychological factors, (6) physical function capacity, (7) disability, (8) quality of life and (9) pain over a specified time. Two of these (2, 6) were an amalgamation of five candidate domains. We agreed that seven other candidate domains\n                were not\n                core domains: range of motion, pain on clinician applied test, clinical examination, palpation, drop out, sensory modality pain and pain without other specification. We were undecided on the other five candidate domains of physical activity, structure, medication use, adverse effects and economic impact.\n              \n            \n            \n              Conclusion\n              Nine core domains for tendon research should guide reporting of outcomes in clinical trials. Further research should determine the best outcome measures for each specific tendinopathy (ie, core outcome sets).","container-title":"British Journal of Sports Medicine","DOI":"10.1136/bjsports-2019-100894","ISSN":"0306-3674, 1473-0480","issue":"8","journalAbbreviation":"Br J Sports Med","language":"en","page":"444-451","source":"DOI.org (Crossref)","title":"ICON 2019—International Scientific Tendinopathy Symposium Consensus: There are nine core health-related domains for tendinopathy (CORE DOMAINS): Delphi study of healthcare professionals and patients","title-short":"ICON 2019—International Scientific Tendinopathy Symposium Consensus","volume":"54","author":[{"family":"Vicenzino","given":"Bill"},{"family":"Vos","given":"Robert-Jan","non-dropping-particle":"de"},{"family":"Alfredson","given":"Hakan"},{"family":"Bahr","given":"Roald"},{"family":"Cook","given":"Jill L"},{"family":"Coombes","given":"Brooke K"},{"family":"Fu","given":"Siu Ngor"},{"family":"Gravare Silbernagel","given":"Karin"},{"family":"Grimaldi","given":"Alison"},{"family":"Lewis","given":"Jeremy S"},{"family":"Maffulli","given":"Nicola"},{"family":"Magnusson","given":"Sp"},{"family":"Malliaras","given":"Peter"},{"family":"Mc Auliffe","given":"Sean"},{"family":"Oei","given":"Edwin H G"},{"family":"Purdam","given":"Craig"},{"family":"Rees","given":"Jonathan D"},{"family":"Rio","given":"Ebonie Kendra"},{"family":"Scott","given":"Alex"},{"family":"Speed","given":"Cathy"},{"family":"Akker-Scheek","given":"Inge","dropping-particle":"van den"},{"family":"Weir","given":"Adam"},{"family":"Wolf","given":"Jennifer Moriatis"},{"family":"Zwerver","given":"Johannes"}],"issued":{"date-parts":[["2020",4]]}}}],"schema":"https://github.com/citation-style-language/schema/raw/master/csl-citation.json"} </w:instrText>
      </w:r>
      <w:r>
        <w:fldChar w:fldCharType="separate"/>
      </w:r>
      <w:r w:rsidRPr="00141AB6">
        <w:rPr>
          <w:rFonts w:ascii="Calibri" w:hAnsi="Calibri" w:cs="Calibri"/>
        </w:rPr>
        <w:t>[19]</w:t>
      </w:r>
      <w:r>
        <w:fldChar w:fldCharType="end"/>
      </w:r>
      <w:r w:rsidRPr="005516A0">
        <w:t xml:space="preserve">. Of the six core ICON domains agreed on by health care professionals and patients, only two (rating of condition and physical function capacity) were reported as primary or secondary domains in this review. This may reflect the disconnect between what researchers’ focus on and what health professionals and patients feel are important in practice </w:t>
      </w:r>
      <w:r>
        <w:fldChar w:fldCharType="begin"/>
      </w:r>
      <w:r>
        <w:instrText xml:space="preserve"> ADDIN ZOTERO_ITEM CSL_CITATION {"citationID":"rkneijIg","properties":{"formattedCitation":"[19]","plainCitation":"[19]","noteIndex":0},"citationItems":[{"id":31,"uris":["http://zotero.org/users/local/ehxbAYSD/items/C5J9CUEH"],"uri":["http://zotero.org/users/local/ehxbAYSD/items/C5J9CUEH"],"itemData":{"id":31,"type":"article-journal","abstract":"Background\n              \n                The absence of any agreed-upon tendon health-related domains hampers advances in clinical tendinopathy research. This void means that researchers report a very wide range of outcome measures inconsistently. As a result, substantial synthesis/meta-analysis of tendon research findings is almost futile despite researchers publishing busily. We aimed to determine options for, and then define, core health-related\n                domains\n                for tendinopathy.\n              \n            \n            \n              Methods\n              \n                We conducted a Delphi study of healthcare professionals (HCP) and patients in a three-stage process. In stage 1, we extracted candidate domains from clinical trial reports and developed an online survey. Survey items took the form: ‘The ‘\n                candidate domain’\n                is important enough to be included as a core health-related domain of tendinopathy’; response options were: agree, disagree, or unsure. In stage 2, we administered the online survey and reported the findings. Stage 3 consisted of discussions of the findings of the survey at the ICON (International Scientific Tendinopathy Symposium Consensus) meeting. We set 70% participant agreement as the level required for a domain to be considered ‘core’; similarly, 70% agreement was required for a domain to be relegated to ‘not core’ (see Results next).\n              \n            \n            \n              Results\n              \n                Twenty-eight HCP (92% of whom had &gt;10 years of tendinopathy experience, 71% consulted &gt;10 cases per month) and 32 patients completed the online survey. Fifteen HCP and two patients attended the consensus meeting. Of an original set of 24 candidate domains, the ICON group deemed nine domains to be core. These were: (1) patient rating of condition, (2) participation in life activities (day to day, work, sport), (3) pain on activity/loading, (4) function, (5) psychological factors, (6) physical function capacity, (7) disability, (8) quality of life and (9) pain over a specified time. Two of these (2, 6) were an amalgamation of five candidate domains. We agreed that seven other candidate domains\n                were not\n                core domains: range of motion, pain on clinician applied test, clinical examination, palpation, drop out, sensory modality pain and pain without other specification. We were undecided on the other five candidate domains of physical activity, structure, medication use, adverse effects and economic impact.\n              \n            \n            \n              Conclusion\n              Nine core domains for tendon research should guide reporting of outcomes in clinical trials. Further research should determine the best outcome measures for each specific tendinopathy (ie, core outcome sets).","container-title":"British Journal of Sports Medicine","DOI":"10.1136/bjsports-2019-100894","ISSN":"0306-3674, 1473-0480","issue":"8","journalAbbreviation":"Br J Sports Med","language":"en","page":"444-451","source":"DOI.org (Crossref)","title":"ICON 2019—International Scientific Tendinopathy Symposium Consensus: There are nine core health-related domains for tendinopathy (CORE DOMAINS): Delphi study of healthcare professionals and patients","title-short":"ICON 2019—International Scientific Tendinopathy Symposium Consensus","volume":"54","author":[{"family":"Vicenzino","given":"Bill"},{"family":"Vos","given":"Robert-Jan","non-dropping-particle":"de"},{"family":"Alfredson","given":"Hakan"},{"family":"Bahr","given":"Roald"},{"family":"Cook","given":"Jill L"},{"family":"Coombes","given":"Brooke K"},{"family":"Fu","given":"Siu Ngor"},{"family":"Gravare Silbernagel","given":"Karin"},{"family":"Grimaldi","given":"Alison"},{"family":"Lewis","given":"Jeremy S"},{"family":"Maffulli","given":"Nicola"},{"family":"Magnusson","given":"Sp"},{"family":"Malliaras","given":"Peter"},{"family":"Mc Auliffe","given":"Sean"},{"family":"Oei","given":"Edwin H G"},{"family":"Purdam","given":"Craig"},{"family":"Rees","given":"Jonathan D"},{"family":"Rio","given":"Ebonie Kendra"},{"family":"Scott","given":"Alex"},{"family":"Speed","given":"Cathy"},{"family":"Akker-Scheek","given":"Inge","dropping-particle":"van den"},{"family":"Weir","given":"Adam"},{"family":"Wolf","given":"Jennifer Moriatis"},{"family":"Zwerver","given":"Johannes"}],"issued":{"date-parts":[["2020",4]]}}}],"schema":"https://github.com/citation-style-language/schema/raw/master/csl-citation.json"} </w:instrText>
      </w:r>
      <w:r>
        <w:fldChar w:fldCharType="separate"/>
      </w:r>
      <w:r w:rsidRPr="00765551">
        <w:rPr>
          <w:rFonts w:ascii="Calibri" w:hAnsi="Calibri" w:cs="Calibri"/>
        </w:rPr>
        <w:t>[19]</w:t>
      </w:r>
      <w:r>
        <w:fldChar w:fldCharType="end"/>
      </w:r>
      <w:r w:rsidRPr="005516A0">
        <w:t xml:space="preserve">, also indicated by low reporting of quality of life outcomes. Adverse events and cost-effectiveness were </w:t>
      </w:r>
      <w:r w:rsidR="000341BC">
        <w:t xml:space="preserve">outcomes </w:t>
      </w:r>
      <w:r w:rsidRPr="005516A0">
        <w:t xml:space="preserve">rarely reported; this should be urgently addressed in future research, in order </w:t>
      </w:r>
      <w:r>
        <w:t xml:space="preserve">that safe and affordable </w:t>
      </w:r>
      <w:r w:rsidRPr="005516A0">
        <w:t>practice recommendations</w:t>
      </w:r>
      <w:r>
        <w:t xml:space="preserve"> can be</w:t>
      </w:r>
      <w:r w:rsidRPr="005516A0">
        <w:t xml:space="preserve"> made</w:t>
      </w:r>
      <w:r w:rsidR="000341BC">
        <w:t xml:space="preserve"> for effective interventions</w:t>
      </w:r>
      <w:r w:rsidRPr="005516A0">
        <w:t>. </w:t>
      </w:r>
    </w:p>
    <w:p w14:paraId="1C66508B" w14:textId="6B70B55B" w:rsidR="00EC1E76" w:rsidRPr="005516A0" w:rsidRDefault="00EC1E76" w:rsidP="0073257F">
      <w:pPr>
        <w:spacing w:line="360" w:lineRule="auto"/>
      </w:pPr>
      <w:r w:rsidRPr="005516A0">
        <w:t xml:space="preserve">The finding that numerous outcome measurement tools were used </w:t>
      </w:r>
      <w:r w:rsidRPr="00EB53AB">
        <w:t>across e</w:t>
      </w:r>
      <w:r w:rsidR="00EB53AB" w:rsidRPr="00EB53AB">
        <w:t xml:space="preserve">ach </w:t>
      </w:r>
      <w:r w:rsidR="00C900CF">
        <w:t xml:space="preserve">health </w:t>
      </w:r>
      <w:r w:rsidR="00EB53AB">
        <w:t xml:space="preserve">domain highlights </w:t>
      </w:r>
      <w:r w:rsidRPr="00EB53AB">
        <w:t>the need f</w:t>
      </w:r>
      <w:r w:rsidRPr="005516A0">
        <w:t>or core outcome sets to be agreed for both research and practice. The ongoing international work on developing core outcome sets for Achilles, gluteal, lateral elbow and proximal hamstring tendinopathies</w:t>
      </w:r>
      <w:r>
        <w:t xml:space="preserve"> </w:t>
      </w:r>
      <w:r w:rsidRPr="005516A0">
        <w:t xml:space="preserve"> (COMET initiative 2021) and shoulder disorders </w:t>
      </w:r>
      <w:r>
        <w:fldChar w:fldCharType="begin"/>
      </w:r>
      <w:r w:rsidR="004F2B13">
        <w:instrText xml:space="preserve"> ADDIN ZOTERO_ITEM CSL_CITATION {"citationID":"vR4408aM","properties":{"formattedCitation":"[31]","plainCitation":"[31]","noteIndex":0},"citationItems":[{"id":48,"uris":["http://zotero.org/users/local/ehxbAYSD/items/MZC7AJJN"],"uri":["http://zotero.org/users/local/ehxbAYSD/items/MZC7AJJN"],"itemData":{"id":48,"type":"article-journal","abstract":"Objective.\n              To reach consensus on the core domains to be included in a core domain set for clinical trials of shoulder disorders using the Outcome Measures in Rheumatology (OMERACT) Filter 2.1 Core Domain Set process.\n            \n            \n              Methods.\n              At OMERACT 2018, the OMERACT Shoulder Working Group conducted a workshop that presented the OMERACT 2016 preliminary core domain set and its rationale based upon a systematic review of domains measured in shoulder trials and international Delphi sessions involving patients, clinicians, and researchers, as well as a new systematic review of qualitative studies on the experiences of people with shoulder disorders. After discussions in breakout groups, the OMERACT core domain set for clinical trials of shoulder disorders was presented for endorsement by OMERACT 2018 participants.\n            \n            \n              Results.\n              The qualitative review (n = 8) identified all domains included in the preliminary core set. An additional domain, cognitive dysfunction, was also identified, but confidence that this represents a core domain was very low. The core domain set that was endorsed by the OMERACT participants, with 71% agreement, includes 4 “mandatory” trial domains: pain, function, patient global — shoulder, and adverse events including death; and 4 “important but optional” domains: participation (recreation/work), sleep, emotional well-being, and condition-specific pathophysiological manifestations. Cognitive dysfunction was voted out of the core domain set.\n            \n            \n              Conclusion.\n              OMERACT 2018 delegates endorsed a core domain set for clinical trials of shoulder disorders. The next step includes identification of a core outcome measurement set that passes the OMERACT 2.1 Filter for measuring each domain.","container-title":"The Journal of Rheumatology","DOI":"10.3899/jrheum.181070","ISSN":"0315-162X, 1499-2752","issue":"8","journalAbbreviation":"J Rheumatol","language":"en","page":"969-975","source":"DOI.org (Crossref)","title":"The OMERACT Core Domain Set for Clinical Trials of Shoulder Disorders","volume":"46","author":[{"family":"Ramiro","given":"Sofia"},{"family":"Page","given":"Matthew J."},{"family":"Whittle","given":"Samuel L."},{"family":"Huang","given":"Hsiaomin"},{"family":"Verhagen","given":"Arianne P."},{"family":"Beaton","given":"Dorcas E."},{"family":"Richards","given":"Pamela"},{"family":"Voshaar","given":"Marieke"},{"family":"Shea","given":"Beverley"},{"family":"Windt","given":"Danielle A.","non-dropping-particle":"van der"},{"family":"Kopkow","given":"Christian"},{"family":"Lenza","given":"Mario"},{"family":"Jain","given":"Nitin B."},{"family":"Richards","given":"Bethan"},{"family":"Hill","given":"Catherine"},{"family":"Gill","given":"Tiffany K."},{"family":"Koes","given":"Bart"},{"family":"Foster","given":"Nadine E."},{"family":"Conaghan","given":"Philip G."},{"family":"Smith","given":"Toby"},{"family":"Malliaras","given":"Peter"},{"family":"Roe","given":"Yngve"},{"family":"Gagnier","given":"Joel J."},{"family":"Buchbinder","given":"Rachelle"}],"issued":{"date-parts":[["2019",8]]}}}],"schema":"https://github.com/citation-style-language/schema/raw/master/csl-citation.json"} </w:instrText>
      </w:r>
      <w:r>
        <w:fldChar w:fldCharType="separate"/>
      </w:r>
      <w:r w:rsidR="004F2B13" w:rsidRPr="004F2B13">
        <w:rPr>
          <w:rFonts w:ascii="Calibri" w:hAnsi="Calibri" w:cs="Calibri"/>
        </w:rPr>
        <w:t>[31]</w:t>
      </w:r>
      <w:r>
        <w:fldChar w:fldCharType="end"/>
      </w:r>
      <w:r w:rsidRPr="005516A0">
        <w:t xml:space="preserve"> will enhance standardisation of outcomes and enable future pooling of findings in systematic reviews. Outcomes reported for RCRSP in this review were not congruent with the core set endorsed by OMERACT participants </w:t>
      </w:r>
      <w:r>
        <w:fldChar w:fldCharType="begin"/>
      </w:r>
      <w:r w:rsidR="004F2B13">
        <w:instrText xml:space="preserve"> ADDIN ZOTERO_ITEM CSL_CITATION {"citationID":"DRGjNaxO","properties":{"formattedCitation":"[31]","plainCitation":"[31]","noteIndex":0},"citationItems":[{"id":48,"uris":["http://zotero.org/users/local/ehxbAYSD/items/MZC7AJJN"],"uri":["http://zotero.org/users/local/ehxbAYSD/items/MZC7AJJN"],"itemData":{"id":48,"type":"article-journal","abstract":"Objective.\n              To reach consensus on the core domains to be included in a core domain set for clinical trials of shoulder disorders using the Outcome Measures in Rheumatology (OMERACT) Filter 2.1 Core Domain Set process.\n            \n            \n              Methods.\n              At OMERACT 2018, the OMERACT Shoulder Working Group conducted a workshop that presented the OMERACT 2016 preliminary core domain set and its rationale based upon a systematic review of domains measured in shoulder trials and international Delphi sessions involving patients, clinicians, and researchers, as well as a new systematic review of qualitative studies on the experiences of people with shoulder disorders. After discussions in breakout groups, the OMERACT core domain set for clinical trials of shoulder disorders was presented for endorsement by OMERACT 2018 participants.\n            \n            \n              Results.\n              The qualitative review (n = 8) identified all domains included in the preliminary core set. An additional domain, cognitive dysfunction, was also identified, but confidence that this represents a core domain was very low. The core domain set that was endorsed by the OMERACT participants, with 71% agreement, includes 4 “mandatory” trial domains: pain, function, patient global — shoulder, and adverse events including death; and 4 “important but optional” domains: participation (recreation/work), sleep, emotional well-being, and condition-specific pathophysiological manifestations. Cognitive dysfunction was voted out of the core domain set.\n            \n            \n              Conclusion.\n              OMERACT 2018 delegates endorsed a core domain set for clinical trials of shoulder disorders. The next step includes identification of a core outcome measurement set that passes the OMERACT 2.1 Filter for measuring each domain.","container-title":"The Journal of Rheumatology","DOI":"10.3899/jrheum.181070","ISSN":"0315-162X, 1499-2752","issue":"8","journalAbbreviation":"J Rheumatol","language":"en","page":"969-975","source":"DOI.org (Crossref)","title":"The OMERACT Core Domain Set for Clinical Trials of Shoulder Disorders","volume":"46","author":[{"family":"Ramiro","given":"Sofia"},{"family":"Page","given":"Matthew J."},{"family":"Whittle","given":"Samuel L."},{"family":"Huang","given":"Hsiaomin"},{"family":"Verhagen","given":"Arianne P."},{"family":"Beaton","given":"Dorcas E."},{"family":"Richards","given":"Pamela"},{"family":"Voshaar","given":"Marieke"},{"family":"Shea","given":"Beverley"},{"family":"Windt","given":"Danielle A.","non-dropping-particle":"van der"},{"family":"Kopkow","given":"Christian"},{"family":"Lenza","given":"Mario"},{"family":"Jain","given":"Nitin B."},{"family":"Richards","given":"Bethan"},{"family":"Hill","given":"Catherine"},{"family":"Gill","given":"Tiffany K."},{"family":"Koes","given":"Bart"},{"family":"Foster","given":"Nadine E."},{"family":"Conaghan","given":"Philip G."},{"family":"Smith","given":"Toby"},{"family":"Malliaras","given":"Peter"},{"family":"Roe","given":"Yngve"},{"family":"Gagnier","given":"Joel J."},{"family":"Buchbinder","given":"Rachelle"}],"issued":{"date-parts":[["2019",8]]}}}],"schema":"https://github.com/citation-style-language/schema/raw/master/csl-citation.json"} </w:instrText>
      </w:r>
      <w:r>
        <w:fldChar w:fldCharType="separate"/>
      </w:r>
      <w:r w:rsidR="004F2B13" w:rsidRPr="004F2B13">
        <w:rPr>
          <w:rFonts w:ascii="Calibri" w:hAnsi="Calibri" w:cs="Calibri"/>
        </w:rPr>
        <w:t>[31]</w:t>
      </w:r>
      <w:r>
        <w:fldChar w:fldCharType="end"/>
      </w:r>
      <w:r>
        <w:t>;</w:t>
      </w:r>
      <w:r w:rsidRPr="005516A0">
        <w:t xml:space="preserve"> only pain was common to both OMERACT and this review.  This may reflect that the OMERACT set relates to all shoulder disorders rather than just </w:t>
      </w:r>
      <w:r>
        <w:t>RCRSP</w:t>
      </w:r>
      <w:r w:rsidRPr="005516A0">
        <w:t xml:space="preserve">, not only making comparison difficult but suggesting that a core set is required specifically for </w:t>
      </w:r>
      <w:r w:rsidR="00C900CF">
        <w:t>RCRSP</w:t>
      </w:r>
      <w:r w:rsidRPr="005516A0">
        <w:t>.</w:t>
      </w:r>
    </w:p>
    <w:p w14:paraId="1C2CA071" w14:textId="3C9B274B" w:rsidR="00EC1E76" w:rsidRDefault="00EC1E76" w:rsidP="0073257F">
      <w:pPr>
        <w:spacing w:line="360" w:lineRule="auto"/>
      </w:pPr>
      <w:r w:rsidRPr="005516A0">
        <w:t>The finding that physical outcomes (e.g. pain, disability) were dominant, with infrequent reporting of psychosocial outcomes (e.g. psychological factors) conflicts with practice, where managing tendinopathy, where the duration can be long and impact on peoples’ lives signi</w:t>
      </w:r>
      <w:r>
        <w:t xml:space="preserve">ficant, can be challenging </w:t>
      </w:r>
      <w:r>
        <w:fldChar w:fldCharType="begin"/>
      </w:r>
      <w:r w:rsidR="004F2B13">
        <w:instrText xml:space="preserve"> ADDIN ZOTERO_ITEM CSL_CITATION {"citationID":"c0HBIfv1","properties":{"formattedCitation":"[32]","plainCitation":"[32]","noteIndex":0},"citationItems":[{"id":34,"uris":["http://zotero.org/users/local/ehxbAYSD/items/QI2JK3AK"],"uri":["http://zotero.org/users/local/ehxbAYSD/items/QI2JK3AK"],"itemData":{"id":34,"type":"article-journal","container-title":"BMC Musculoskeletal Disorders","DOI":"10.1186/s12891-019-2510-7","ISSN":"1471-2474","issue":"1","journalAbbreviation":"BMC Musculoskelet Disord","language":"en","page":"164","source":"DOI.org (Crossref)","title":"Strategies for optimising musculoskeletal health in the 21st century","volume":"20","author":[{"family":"Lewis","given":"Rebecca"},{"family":"Gómez Álvarez","given":"Constanza B."},{"family":"Rayman","given":"Margaret"},{"family":"Lanham-New","given":"Susan"},{"family":"Woolf","given":"Anthony"},{"family":"Mobasheri","given":"Ali"}],"issued":{"date-parts":[["2019",12]]}}}],"schema":"https://github.com/citation-style-language/schema/raw/master/csl-citation.json"} </w:instrText>
      </w:r>
      <w:r>
        <w:fldChar w:fldCharType="separate"/>
      </w:r>
      <w:r w:rsidR="004F2B13" w:rsidRPr="004F2B13">
        <w:rPr>
          <w:rFonts w:ascii="Calibri" w:hAnsi="Calibri" w:cs="Calibri"/>
        </w:rPr>
        <w:t>[32]</w:t>
      </w:r>
      <w:r>
        <w:fldChar w:fldCharType="end"/>
      </w:r>
      <w:r w:rsidRPr="005516A0">
        <w:t xml:space="preserve">.  This finding further emphasises the need for further qualitative research, and the use of more holistic, patient-centred outcomes in tendinopathy research </w:t>
      </w:r>
      <w:r>
        <w:fldChar w:fldCharType="begin"/>
      </w:r>
      <w:r w:rsidR="004F2B13">
        <w:instrText xml:space="preserve"> ADDIN ZOTERO_ITEM CSL_CITATION {"citationID":"4xgvGZLN","properties":{"formattedCitation":"[8,33]","plainCitation":"[8,33]","noteIndex":0},"citationItems":[{"id":15,"uris":["http://zotero.org/users/local/ehxbAYSD/items/IVGAZMS6"],"uri":["http://zotero.org/users/local/ehxbAYSD/items/IVGAZMS6"],"itemData":{"id":15,"type":"article-journal","container-title":"PLOS ONE","DOI":"10.1371/journal.pone.0233459","ISSN":"1932-6203","issue":"5","journalAbbreviation":"PLoS ONE","language":"en","page":"e0233459","source":"DOI.org (Crossref)","title":"“It's disappointing and it's pretty frustrating, because it feels like it's something that will never go away.” A qualitative study exploring individuals’ beliefs and experiences of Achilles tendinopathy","volume":"15","author":[{"family":"Turner","given":"Jeffrey"},{"family":"Malliaras","given":"Peter"},{"family":"Goulis","given":"Jimmy"},{"family":"Mc Auliffe","given":"Seán"}],"editor":[{"family":"Martin","given":"Denis"}],"issued":{"date-parts":[["2020",5,29]]}}},{"id":38,"uris":["http://zotero.org/users/local/ehxbAYSD/items/P4LKJVBS"],"uri":["http://zotero.org/users/local/ehxbAYSD/items/P4LKJVBS"],"itemData":{"id":38,"type":"article-journal","container-title":"British Journal of Sports Medicine","DOI":"10.1136/bjsports-2020-102359","ISSN":"0306-3674, 1473-0480","issue":"5","journalAbbreviation":"Br J Sports Med","language":"en","page":"244-245","source":"DOI.org (Crossref)","title":"Why do tendon researchers overlook the patient’s psychological state? The review with no papers","title-short":"Why do tendon researchers overlook the patient’s psychological state?","volume":"55","author":[{"family":"Mc Auliffe","given":"Seán"},{"family":"O'Sullivan","given":"Kieran"},{"family":"Whiteley","given":"Rod"},{"family":"Korakakis","given":"Vasileios"}],"issued":{"date-parts":[["2021",3]]}}}],"schema":"https://github.com/citation-style-language/schema/raw/master/csl-citation.json"} </w:instrText>
      </w:r>
      <w:r>
        <w:fldChar w:fldCharType="separate"/>
      </w:r>
      <w:r w:rsidR="004F2B13" w:rsidRPr="004F2B13">
        <w:rPr>
          <w:rFonts w:ascii="Calibri" w:hAnsi="Calibri" w:cs="Calibri"/>
        </w:rPr>
        <w:t>[8,33]</w:t>
      </w:r>
      <w:r>
        <w:fldChar w:fldCharType="end"/>
      </w:r>
      <w:r>
        <w:t>.</w:t>
      </w:r>
      <w:r w:rsidRPr="005516A0">
        <w:t xml:space="preserve"> This scoping review clearly demonstrates that research to date is skewed towards physical interventions and outcomes. We propose that there is a need for practitioners and researchers to consider combined interventions which might combine exercise with components such as education, psychology, social and lifestyle considerations and pain management approaches, in keeping with the management of other long-term musculoskeletal conditions such as low back pain </w:t>
      </w:r>
      <w:r>
        <w:fldChar w:fldCharType="begin"/>
      </w:r>
      <w:r w:rsidR="004F2B13">
        <w:instrText xml:space="preserve"> ADDIN ZOTERO_ITEM CSL_CITATION {"citationID":"8oYvOQ87","properties":{"formattedCitation":"[34]","plainCitation":"[34]","noteIndex":0},"citationItems":[{"id":55,"uris":["http://zotero.org/users/local/ehxbAYSD/items/7SZU9R3I"],"uri":["http://zotero.org/users/local/ehxbAYSD/items/7SZU9R3I"],"itemData":{"id":55,"type":"article-journal","container-title":"Physical Therapy","DOI":"10.1093/ptj/pzy022","ISSN":"0031-9023, 1538-6724","issue":"5","language":"en","page":"408-423","source":"DOI.org (Crossref)","title":"Cognitive Functional Therapy: An Integrated Behavioral Approach for the Targeted Management of Disabling Low Back Pain","title-short":"Cognitive Functional Therapy","volume":"98","author":[{"family":"O’Sullivan","given":"Peter B"},{"family":"Caneiro","given":"J P"},{"family":"O’Keeffe","given":"Mary"},{"family":"Smith","given":"Anne"},{"family":"Dankaerts","given":"Wim"},{"family":"Fersum","given":"Kjartan"},{"family":"O’Sullivan","given":"Kieran"}],"issued":{"date-parts":[["2018",5,1]]}}}],"schema":"https://github.com/citation-style-language/schema/raw/master/csl-citation.json"} </w:instrText>
      </w:r>
      <w:r>
        <w:fldChar w:fldCharType="separate"/>
      </w:r>
      <w:r w:rsidR="004F2B13" w:rsidRPr="004F2B13">
        <w:rPr>
          <w:rFonts w:ascii="Calibri" w:hAnsi="Calibri" w:cs="Calibri"/>
        </w:rPr>
        <w:t>[34]</w:t>
      </w:r>
      <w:r>
        <w:fldChar w:fldCharType="end"/>
      </w:r>
      <w:r w:rsidRPr="005516A0">
        <w:t>.</w:t>
      </w:r>
    </w:p>
    <w:p w14:paraId="5B8046B0" w14:textId="77777777" w:rsidR="00C00C75" w:rsidRPr="005516A0" w:rsidRDefault="00C00C75" w:rsidP="0073257F">
      <w:pPr>
        <w:spacing w:line="360" w:lineRule="auto"/>
      </w:pPr>
    </w:p>
    <w:p w14:paraId="7713CE83" w14:textId="77777777" w:rsidR="00EC1E76" w:rsidRPr="002C35AF" w:rsidRDefault="00EC1E76" w:rsidP="0073257F">
      <w:pPr>
        <w:spacing w:line="360" w:lineRule="auto"/>
        <w:rPr>
          <w:i/>
        </w:rPr>
      </w:pPr>
      <w:r w:rsidRPr="002C35AF">
        <w:rPr>
          <w:i/>
        </w:rPr>
        <w:t>Reporting in tendinopathy</w:t>
      </w:r>
    </w:p>
    <w:p w14:paraId="4DE67206" w14:textId="56795231" w:rsidR="00EC1E76" w:rsidRDefault="00EC1E76" w:rsidP="0073257F">
      <w:pPr>
        <w:spacing w:line="360" w:lineRule="auto"/>
      </w:pPr>
      <w:r w:rsidRPr="00273F6A">
        <w:t xml:space="preserve">Reporting of interventions and adherence is discussed above. However, reporting of participant demographics was also highly variable, with very low reporting rates for some potentially important </w:t>
      </w:r>
      <w:r>
        <w:lastRenderedPageBreak/>
        <w:t xml:space="preserve">comorbidities and </w:t>
      </w:r>
      <w:r w:rsidR="001A2417">
        <w:t xml:space="preserve">confounders such as age, </w:t>
      </w:r>
      <w:r w:rsidRPr="00273F6A">
        <w:t xml:space="preserve">gender, </w:t>
      </w:r>
      <w:r w:rsidR="001A2417">
        <w:t>cardio vascular conditions, diabetes and non-Caucasian ethnicities</w:t>
      </w:r>
      <w:r w:rsidRPr="00273F6A">
        <w:t xml:space="preserve">). </w:t>
      </w:r>
      <w:r>
        <w:t xml:space="preserve">For example, </w:t>
      </w:r>
      <w:r w:rsidRPr="00273F6A">
        <w:t>low to moderate quality evidence has demonstrated a link between metabolic syndrome, obesity and RCRSP</w:t>
      </w:r>
      <w:r>
        <w:t xml:space="preserve"> but this was not well reported in studies </w:t>
      </w:r>
      <w:r>
        <w:fldChar w:fldCharType="begin"/>
      </w:r>
      <w:r w:rsidR="004F2B13">
        <w:instrText xml:space="preserve"> ADDIN ZOTERO_ITEM CSL_CITATION {"citationID":"WdFwjfJO","properties":{"formattedCitation":"[35]","plainCitation":"[35]","noteIndex":0},"citationItems":[{"id":39,"uris":["http://zotero.org/users/local/ehxbAYSD/items/LAFJIZ8A"],"uri":["http://zotero.org/users/local/ehxbAYSD/items/LAFJIZ8A"],"itemData":{"id":39,"type":"article-journal","abstract":"Objectives\n              Rotator cuff-related shoulder pain (RCRSP) is a common upper limb complaint. It has been suggested that this condition is more common among people with cardiometabolic risk factors. This systematic review has synthesised evidence from case–control, cross-sectional and cohort studies on the association between metabolic syndrome (MetS) and RCRSP.\n            \n            \n              Design and data sources\n              Five medical databases (MEDLINE, EMBASE, SCOPUS, CINAHL and AMED) and reference checking methods were used to identify all relevant English articles that considered MetS and RCRSP. Studies were appraised using the Newcastle-Ottawa Scale (NOS). Two reviewers performed critical appraisal and data extraction. Narrative synthesis was performed via content analysis of statistically significant associations.\n            \n            \n              Results\n              Three cross-sectional, two case–control and one cohort study met the inclusion criteria, providing a total of 1187 individuals with RCRSP. Heterogeneity in methodology and RCRSP or MetS definition precluded a meaningful meta-analysis. Four of the included studies identified associations between the prevalence of MetS and RCRSP. Studies consistently identified independent cardiometabolic risk factors associated with RCRSP. All studies were level III evidence.\n            \n            \n              Summary and conclusion\n              The low-moderate quality evidence included in this review suggests an association between MetS and RCRSP. Most studies demonstrated moderate quality on appraisal. The direction of association and cardiometabolic factors influencing should be investigated by longitudinal and treatment studies. These preliminary conclusions and clinical utility should be treated with caution due to limitations of the evidence base.","container-title":"BMJ Open Sport &amp; Exercise Medicine","DOI":"10.1136/bmjsem-2019-000544","ISSN":"2055-7647","issue":"1","journalAbbreviation":"BMJ Open Sport Exerc Med","language":"en","page":"e000544","source":"DOI.org (Crossref)","title":"Is there an association between metabolic syndrome and rotator cuff-related shoulder pain? A systematic review","title-short":"Is there an association between metabolic syndrome and rotator cuff-related shoulder pain?","volume":"5","author":[{"family":"Burne","given":"Graham"},{"family":"Mansfield","given":"Michael"},{"family":"Gaida","given":"Jamie E"},{"family":"Lewis","given":"Jeremy S"}],"issued":{"date-parts":[["2019",12]]}}}],"schema":"https://github.com/citation-style-language/schema/raw/master/csl-citation.json"} </w:instrText>
      </w:r>
      <w:r>
        <w:fldChar w:fldCharType="separate"/>
      </w:r>
      <w:r w:rsidR="004F2B13" w:rsidRPr="004F2B13">
        <w:rPr>
          <w:rFonts w:ascii="Calibri" w:hAnsi="Calibri" w:cs="Calibri"/>
        </w:rPr>
        <w:t>[35]</w:t>
      </w:r>
      <w:r>
        <w:fldChar w:fldCharType="end"/>
      </w:r>
      <w:r w:rsidRPr="00273F6A">
        <w:t>.</w:t>
      </w:r>
      <w:r>
        <w:t xml:space="preserve"> </w:t>
      </w:r>
      <w:r w:rsidRPr="00273F6A">
        <w:t>This limits the ability to pool findings, evident in the small number of included systematic reviews that ha</w:t>
      </w:r>
      <w:r>
        <w:t>ve</w:t>
      </w:r>
      <w:r w:rsidRPr="00273F6A">
        <w:t xml:space="preserve"> conducted meta-analyses. There is therefore an urgent need for full and transparent reporting in tendinopathy research</w:t>
      </w:r>
      <w:r>
        <w:t xml:space="preserve"> </w:t>
      </w:r>
      <w:r>
        <w:fldChar w:fldCharType="begin"/>
      </w:r>
      <w:r w:rsidR="004F2B13">
        <w:instrText xml:space="preserve"> ADDIN ZOTERO_ITEM CSL_CITATION {"citationID":"ltqw0UfY","properties":{"formattedCitation":"[4,7,25]","plainCitation":"[4,7,25]","noteIndex":0},"citationItems":[{"id":4,"uris":["http://zotero.org/users/local/ehxbAYSD/items/THW6F526"],"uri":["http://zotero.org/users/local/ehxbAYSD/items/THW6F526"],"itemData":{"id":4,"type":"article-journal","abstract":"Objective\n              To evaluate the effectiveness of exercise compared with other conservative interventions in the management of lateral elbow tendinopathy (LET) on pain and function.\n            \n            \n              Design\n              Systematic review and meta-analysis.\n            \n            \n              Methods\n              We used the Cochrane risk-of-bias tool 2 for randomised controlled trials (RCTs) to assess risk of bias and the Grading of Recommendations Assessment, Development and Evaluation methodology to grade the certainty of evidence. Self-perceived improvement, pain intensity, pain-free grip strength (PFGS) and elbow disability were used as primary outcome measures.\n            \n            \n              Eligibility criteria\n              RCTs assessing the effectiveness of exercise alone or as an additive intervention compared with passive interventions, wait-and-see or injections in patients with LET.\n            \n            \n              Results\n              30 RCTs (2123 participants, 5 comparator interventions) were identified. Exercise outperformed (low certainty) corticosteroid injections in all outcomes at all time points except short-term pain reduction. Clinically significant differences were found in PFGS at short-term (mean difference (MD): 12.15, (95% CI) 1.69 to 22.6), mid-term (MD: 22.45, 95% CI 3.63 to 41.3) and long-term follow-up (MD: 18, 95% CI 11.17 to 24.84). Statistically significant differences (very low certainty) for exercise compared with wait-and-see were found only in self-perceived improvement at short-term, pain reduction and elbow disability at short-term and long-term follow-up. Substantial heterogeneity in descriptions of equipment, load, duration and frequency of exercise programmes were evident.\n            \n            \n              Conclusions\n              Low and very low certainty evidence suggests exercise is effective compared with passive interventions with or without invasive treatment in LET, but the effect is small.\n            \n            \n              PROSPERO registration number\n              CRD42018082703.","container-title":"British Journal of Sports Medicine","DOI":"10.1136/bjsports-2020-102525","ISSN":"0306-3674, 1473-0480","issue":"9","journalAbbreviation":"Br J Sports Med","language":"en","page":"477-485","source":"DOI.org (Crossref)","title":"Exercise interventions in lateral elbow tendinopathy have better outcomes than passive interventions, but the effects are small: a systematic review and meta-analysis of 2123 subjects in 30 trials","title-short":"Exercise interventions in lateral elbow tendinopathy have better outcomes than passive interventions, but the effects are small","volume":"55","author":[{"family":"Karanasios","given":"Stefanos"},{"family":"Korakakis","given":"Vasileios"},{"family":"Whiteley","given":"Rod"},{"family":"Vasilogeorgis","given":"Ioannis"},{"family":"Woodbridge","given":"Sarah"},{"family":"Gioftsos","given":"Georgios"}],"issued":{"date-parts":[["2021",5]]}}},{"id":9,"uris":["http://zotero.org/users/local/ehxbAYSD/items/ZAPRSD7A"],"uri":["http://zotero.org/users/local/ehxbAYSD/items/ZAPRSD7A"],"itemData":{"id":9,"type":"article-journal","abstract":"Objective: To systematically review and critically appraise the literature on the effectiveness of isometric exercise in comparison with other treatment strategies or no treatment in tendinopathy.\nDesign: A systematic review and meta-analysis of randomised controlled trials.\nData sources: Electronic searches of Medline, Cumulative Index to Nursing and Allied Health Literature, EMBASE and Cochrane were undertaken from inception to May 2020.\nMethods: Overall quality of each study was determined based on a combined assessment of internal validity, external validity and precision. For each outcome measure, level of evidence was rated based on the system by van Tulder et al.\nResults: Ten studies were identified and included in the review, including participants with patellar (n=4), rotator cuff (n=2), lateral elbow (n=2), Achilles (n=1) and gluteal (n=1) tendinopathies. Three were of good and seven were of poor overall quality. Based on limited evidence (level 3), isometric exercise was not superior to isotonic exercise for chronic tendinopathy either immediately following treatment or in the short term (≤12 weeks) for any of the investigated outcome measures. Additionally, for acute rotator cuff tendinopathy, isometric exercise appears to be no more effective than ice therapy in the short term (limited evidence; level 3).\nSummary: Isometric exercise does not appear to be superior to isotonic exercise in the management of chronic tendinopathy. The response to isometric exercise is variable both within and across tendinopathy populations. Isometric exercise can be used as part of a progressive loading programme as it may be beneficial for selected individuals.\nPROSPERO registration number: CRD42019147179.","container-title":"BMJ open sport &amp; exercise medicine","DOI":"10.1136/bmjsem-2020-000760","ISSN":"2055-7647","issue":"1","journalAbbreviation":"BMJ Open Sport Exerc Med","language":"eng","note":"PMID: 32818059\nPMCID: PMC7406028","page":"e000760","source":"PubMed","title":"Effectiveness of isometric exercise in the management of tendinopathy: a systematic review and meta-analysis of randomised trials","title-short":"Effectiveness of isometric exercise in the management of tendinopathy","volume":"6","author":[{"family":"Clifford","given":"Christopher"},{"family":"Challoumas","given":"Dimitris"},{"family":"Paul","given":"Lorna"},{"family":"Syme","given":"Grant"},{"family":"Millar","given":"Neal L."}],"issued":{"date-parts":[["2020"]]}}},{"id":57,"uris":["http://zotero.org/users/local/ehxbAYSD/items/G2TY24P6"],"uri":["http://zotero.org/users/local/ehxbAYSD/items/G2TY24P6"],"itemData":{"id":57,"type":"article-journal","abstract":"Objective\n              To investigate the comparative effectiveness of all treatments for patellofemoral pain (PFP).\n            \n            \n              Design\n              Living systematic review with network meta-analysis (NMA).\n            \n            \n              Data sources\n              Sensitive search in seven databases, three grey literature resources and four trial registers.\n            \n            \n              Eligibility criteria\n              Randomised controlled trials evaluating any treatment for PFP with outcomes ‘any improvement’, and pain intensity.\n            \n            \n              Data extraction\n              Two reviewers independently extracted data and assessed risk of bias with Risk of Bias Tool V.2. We used Grading of Recommendations, Assessment, Development and Evaluation to appraise the strength of the evidence.\n            \n            \n              Primary outcome measure\n              ‘Any improvement’ measured with a Global Rating of Change Scale.\n            \n            \n              Results\n              Twenty-two trials (with forty-eight treatment arms) were included, of which approximately 10 (45%) were at high risk of bias for the primary outcome. Most comparisons had a low to very low strength of the evidence. All treatments were better than wait and see for any improvement at 3 months (education (OR 9.6, 95% credible interval (CrI): 2.2 to 48.8); exercise (OR 13.0, 95% CrI: 2.4 to 83.5); education+orthosis (OR 16.5, 95% CrI: 4.9 to 65.8); education+exercise+patellar taping/mobilisations (OR 25.2, 95% CrI: 5.7 to 130.3) and education+exercise+patellar taping/mobilisations+orthosis (OR 38.8, 95% CrI: 7.3 to 236.9)). Education+exercise+patellar taping/mobilisations, with (OR 4.0, 95% CrI: 1.5 to 11.8) or without orthosis (OR 2.6, 95% CrI: 1.7 to 4.2), were superior to education alone. At 12 months, education or education+any combination yielded similar improvement rates.\n            \n            \n              Summary/conclusion\n              Education combined with a physical treatment (exercise, orthoses or patellar taping/mobilisation) is most likely to be effective at 3 months. At 12 months, education appears comparable to education with a physical treatment. There was insufficient evidence to recommend a specific type of physical treatment over another. All treatments in our NMA were superior to wait and see at 3 months, and we recommend avoiding a wait-and-see approach.\n            \n            \n              PROSPERO registeration number\n              PROSPERO registration CRD42018079502.","container-title":"British Journal of Sports Medicine","DOI":"10.1136/bjsports-2020-102819","ISSN":"0306-3674, 1473-0480","issue":"7","journalAbbreviation":"Br J Sports Med","language":"en","page":"369-377","source":"DOI.org (Crossref)","title":"Comparative effectiveness of treatments for patellofemoral pain: a living systematic review with network meta-analysis","title-short":"Comparative effectiveness of treatments for patellofemoral pain","volume":"55","author":[{"family":"Winters","given":"Marinus"},{"family":"Holden","given":"Sinéad"},{"family":"Lura","given":"Carolina Bryne"},{"family":"Welton","given":"Nicky J"},{"family":"Caldwell","given":"Deborah M"},{"family":"Vicenzino","given":"Bill T"},{"family":"Weir","given":"Adam"},{"family":"Rathleff","given":"Michael Skovdal"}],"issued":{"date-parts":[["2021",4]]}}}],"schema":"https://github.com/citation-style-language/schema/raw/master/csl-citation.json"} </w:instrText>
      </w:r>
      <w:r>
        <w:fldChar w:fldCharType="separate"/>
      </w:r>
      <w:r w:rsidR="004F2B13" w:rsidRPr="004F2B13">
        <w:rPr>
          <w:rFonts w:ascii="Calibri" w:hAnsi="Calibri" w:cs="Calibri"/>
        </w:rPr>
        <w:t>[4,7,25]</w:t>
      </w:r>
      <w:r>
        <w:fldChar w:fldCharType="end"/>
      </w:r>
      <w:r w:rsidRPr="00273F6A">
        <w:t xml:space="preserve"> and to continue the development of the ICON standards for reporting participant characteristics </w:t>
      </w:r>
      <w:r>
        <w:fldChar w:fldCharType="begin"/>
      </w:r>
      <w:r w:rsidR="004F2B13">
        <w:instrText xml:space="preserve"> ADDIN ZOTERO_ITEM CSL_CITATION {"citationID":"oetFd1n1","properties":{"formattedCitation":"[36]","plainCitation":"[36]","noteIndex":0},"citationItems":[{"id":50,"uris":["http://zotero.org/users/local/ehxbAYSD/items/IJZXHA6M"],"uri":["http://zotero.org/users/local/ehxbAYSD/items/IJZXHA6M"],"itemData":{"id":50,"type":"article-journal","abstract":"We aimed to establish consensus for reporting recommendations relating to participant characteristics in tendon research. A scoping literature review of tendinopathy studies (Achilles, patellar, hamstring, gluteal and elbow) was followed by an online survey and face-to-face consensus meeting with expert healthcare professionals (HCPs) at the International Scientific Tendon Symposium, Groningen 2018. We reviewed 263 papers to form statements for consensus and invited 30 HCPs from different disciplines and geographical locations; 28 completed the survey and 15 attended the meeting. There was consensus that the following data should be reported for cases and controls: sex, age, standing height, body mass, history of tendinopathy, whether imaging was used to confirm pathology, loading tests, pain location, symptom duration and severity, level of disability, comorbidities, physical activity level, recruitment source and strategies, and medication use history. Standardised reporting of participant characteristics aims to benefit patients and clinicians by guiding researchers in the conduct of their studies. We provide free resources to facilitate researchers adopting our recommendations.","container-title":"British Journal of Sports Medicine","DOI":"10.1136/bjsports-2019-100957","ISSN":"0306-3674, 1473-0480","issue":"11","journalAbbreviation":"Br J Sports Med","language":"en","page":"627-630","source":"DOI.org (Crossref)","title":"ICON PART-T 2019–International Scientific Tendinopathy Symposium Consensus: recommended standards for reporting participant characteristics in tendinopathy research (PART-T)","title-short":"ICON PART-T 2019–International Scientific Tendinopathy Symposium Consensus","volume":"54","author":[{"family":"Rio","given":"Ebonie Kendra"},{"family":"Mc Auliffe","given":"Sean"},{"family":"Kuipers","given":"Irene"},{"family":"Girdwood","given":"Michael"},{"family":"Alfredson","given":"Hakan"},{"family":"Bahr","given":"Roald"},{"family":"Cook","given":"Jill L"},{"family":"Coombes","given":"Brooke"},{"family":"Fu","given":"Siu Ngor"},{"family":"Grimaldi","given":"Alison"},{"family":"Vos","given":"Robert-Jan","non-dropping-particle":"de"},{"family":"Lewis","given":"Jeremy S"},{"family":"Maffulli","given":"Nicola"},{"family":"Malliaras","given":"Peter"},{"family":"Magnusson","given":"S P"},{"family":"Oei","given":"Edwin H G"},{"family":"Purdam","given":"Craig Robert"},{"family":"Rees","given":"Jonathan D"},{"family":"Scott","given":"Alex"},{"family":"Gravare Silbernagel","given":"Karin"},{"family":"Speed","given":"Cathy"},{"family":"Akker-Scheek","given":"Inge","dropping-particle":"van den"},{"family":"Vicenzino","given":"Bill T"},{"family":"Weir","given":"Adam"},{"family":"Wolf","given":"Jennifer Moriatis"},{"family":"Zwerver","given":"Johannes"}],"issued":{"date-parts":[["2020",6]]}}}],"schema":"https://github.com/citation-style-language/schema/raw/master/csl-citation.json"} </w:instrText>
      </w:r>
      <w:r>
        <w:fldChar w:fldCharType="separate"/>
      </w:r>
      <w:r w:rsidR="004F2B13" w:rsidRPr="004F2B13">
        <w:rPr>
          <w:rFonts w:ascii="Calibri" w:hAnsi="Calibri" w:cs="Calibri"/>
        </w:rPr>
        <w:t>[36]</w:t>
      </w:r>
      <w:r>
        <w:fldChar w:fldCharType="end"/>
      </w:r>
      <w:r w:rsidRPr="00273F6A">
        <w:t xml:space="preserve">. The wide age range reported across included studies and the lack of reporting of co-morbidities (particularly in older populations) lends support to demographic sub-grouping of participants to lessen the impact of confounders and to identify different responses </w:t>
      </w:r>
      <w:r w:rsidR="001A2417">
        <w:t xml:space="preserve">to exercise </w:t>
      </w:r>
      <w:r w:rsidRPr="00273F6A">
        <w:t>across groups. </w:t>
      </w:r>
    </w:p>
    <w:p w14:paraId="2BFBC3A2" w14:textId="2654C544" w:rsidR="003059FF" w:rsidRPr="00713399" w:rsidRDefault="00EF5256" w:rsidP="0073257F">
      <w:pPr>
        <w:pStyle w:val="Heading2"/>
      </w:pPr>
      <w:r>
        <w:t xml:space="preserve">4.1 </w:t>
      </w:r>
      <w:r w:rsidR="003059FF" w:rsidRPr="00713399">
        <w:t>Limitations</w:t>
      </w:r>
    </w:p>
    <w:p w14:paraId="389AD8DA" w14:textId="77777777" w:rsidR="00C00C75" w:rsidRDefault="00C00C75" w:rsidP="0073257F">
      <w:pPr>
        <w:spacing w:line="360" w:lineRule="auto"/>
      </w:pPr>
      <w:r w:rsidRPr="00273F6A">
        <w:t xml:space="preserve">There are some inevitable limitations to this scoping review. The use of the HDI </w:t>
      </w:r>
      <w:r>
        <w:fldChar w:fldCharType="begin"/>
      </w:r>
      <w:r>
        <w:instrText xml:space="preserve"> ADDIN ZOTERO_ITEM CSL_CITATION {"citationID":"bPtHWWhv","properties":{"formattedCitation":"[16]","plainCitation":"[16]","noteIndex":0},"citationItems":[{"id":26,"uris":["http://zotero.org/users/local/ehxbAYSD/items/ZE8HP9TS"],"uri":["http://zotero.org/users/local/ehxbAYSD/items/ZE8HP9TS"],"itemData":{"id":26,"type":"report","event-place":"New York","publisher":"United Nations","publisher-place":"New York","title":"Human Development Reports [Internet]","URL":"http://hdr.undp.org/sites/default/files/hdro_statistical_data_table1.pdf","author":[{"family":"United Nations Development Program","given":""}],"accessed":{"date-parts":[["2020",3,2]]},"issued":{"date-parts":[["2019"]]}}}],"schema":"https://github.com/citation-style-language/schema/raw/master/csl-citation.json"} </w:instrText>
      </w:r>
      <w:r>
        <w:fldChar w:fldCharType="separate"/>
      </w:r>
      <w:r w:rsidRPr="00FB1EEC">
        <w:rPr>
          <w:rFonts w:ascii="Calibri" w:hAnsi="Calibri" w:cs="Calibri"/>
        </w:rPr>
        <w:t>[16]</w:t>
      </w:r>
      <w:r>
        <w:fldChar w:fldCharType="end"/>
      </w:r>
      <w:r w:rsidRPr="00273F6A">
        <w:t xml:space="preserve"> ensured that the international evidence gathered is compatible with the UK context; however, some pertinent evidence may have been excluded as a result. However, we are confident that including studies form non-HDI countries would not significantly affect the results of this review as a comprehensive search was conducted and the translations were sourced for all included non-English language studies. </w:t>
      </w:r>
    </w:p>
    <w:p w14:paraId="39250D9C" w14:textId="77777777" w:rsidR="00E713B3" w:rsidRDefault="00E713B3" w:rsidP="0073257F">
      <w:pPr>
        <w:spacing w:line="360" w:lineRule="auto"/>
        <w:rPr>
          <w:b/>
        </w:rPr>
      </w:pPr>
    </w:p>
    <w:p w14:paraId="2E0BB16D" w14:textId="4968161C" w:rsidR="003059FF" w:rsidRPr="003059FF" w:rsidRDefault="003059FF" w:rsidP="0073257F">
      <w:pPr>
        <w:pStyle w:val="Heading1"/>
      </w:pPr>
      <w:r w:rsidRPr="003059FF">
        <w:t>CONCLUSIONS</w:t>
      </w:r>
    </w:p>
    <w:p w14:paraId="53D1DCB2" w14:textId="167320E2" w:rsidR="00360F34" w:rsidRDefault="00EF5256" w:rsidP="0073257F">
      <w:pPr>
        <w:spacing w:line="360" w:lineRule="auto"/>
      </w:pPr>
      <w:r w:rsidRPr="001F5FBD">
        <w:t xml:space="preserve">This scoping review provides </w:t>
      </w:r>
      <w:r w:rsidR="001A2417">
        <w:t>the first</w:t>
      </w:r>
      <w:r w:rsidRPr="001F5FBD">
        <w:t xml:space="preserve"> map of exercise interventions and outcomes for tendinopathy research. Several important recommendations for future research have emerged from this review and are detailed next. Practice recommendations are limited from scoping reviews, due to the lack of study quality assessment; however, practitioners may wish to reflect on dosage for strengthening exercise, and the consideration of a more holistic approach to managing tendinopathy.</w:t>
      </w:r>
      <w:r w:rsidR="00E14215">
        <w:t xml:space="preserve"> The results from this scoping review will inform subsequent evidence synthesis on this topic.</w:t>
      </w:r>
    </w:p>
    <w:p w14:paraId="662CD4BA" w14:textId="77777777" w:rsidR="0057128B" w:rsidRDefault="0057128B" w:rsidP="0073257F">
      <w:pPr>
        <w:spacing w:line="360" w:lineRule="auto"/>
      </w:pPr>
    </w:p>
    <w:p w14:paraId="5680E07B" w14:textId="2E43FB7E" w:rsidR="0079532C" w:rsidRPr="00713399" w:rsidRDefault="0079532C" w:rsidP="0073257F">
      <w:pPr>
        <w:pStyle w:val="Heading2"/>
      </w:pPr>
      <w:r w:rsidRPr="00713399">
        <w:t>Recommendations for research:</w:t>
      </w:r>
    </w:p>
    <w:p w14:paraId="32D03CE3" w14:textId="77777777" w:rsidR="004B6F7C" w:rsidRDefault="004B6F7C" w:rsidP="0073257F">
      <w:pPr>
        <w:pStyle w:val="ListParagraph"/>
        <w:numPr>
          <w:ilvl w:val="0"/>
          <w:numId w:val="7"/>
        </w:numPr>
        <w:spacing w:line="360" w:lineRule="auto"/>
      </w:pPr>
      <w:r>
        <w:t>Research study types</w:t>
      </w:r>
    </w:p>
    <w:p w14:paraId="79BC971E" w14:textId="77777777" w:rsidR="004B6F7C" w:rsidRDefault="004B6F7C" w:rsidP="0073257F">
      <w:pPr>
        <w:pStyle w:val="ListParagraph"/>
        <w:spacing w:line="360" w:lineRule="auto"/>
      </w:pPr>
      <w:r>
        <w:t xml:space="preserve">a. There is a need for </w:t>
      </w:r>
      <w:proofErr w:type="gramStart"/>
      <w:r>
        <w:t>adequately-powered</w:t>
      </w:r>
      <w:proofErr w:type="gramEnd"/>
      <w:r>
        <w:t xml:space="preserve">, methodologically-sound studies that can truly demonstrate the effectiveness of interventions. </w:t>
      </w:r>
    </w:p>
    <w:p w14:paraId="52FE651D" w14:textId="77777777" w:rsidR="004B6F7C" w:rsidRDefault="004B6F7C" w:rsidP="0073257F">
      <w:pPr>
        <w:pStyle w:val="ListParagraph"/>
        <w:spacing w:line="360" w:lineRule="auto"/>
      </w:pPr>
      <w:r>
        <w:lastRenderedPageBreak/>
        <w:t xml:space="preserve">b. To achieve (a) we recommend that intervention development studies are conducted prior to moving to trials, including feasibility and acceptability studies. Qualitative studies (stand-alone or embedded within other designs) should explore participants’ perceptions and experiences of exercise for tendinopathy. There is an urgent need for cost-effectiveness analyses and for studies on the implementation of effective interventions in practice. </w:t>
      </w:r>
    </w:p>
    <w:p w14:paraId="0479F643" w14:textId="7A5DE677" w:rsidR="004B6F7C" w:rsidRDefault="00E14215" w:rsidP="0057128B">
      <w:pPr>
        <w:pStyle w:val="ListParagraph"/>
        <w:keepNext/>
        <w:numPr>
          <w:ilvl w:val="0"/>
          <w:numId w:val="7"/>
        </w:numPr>
        <w:spacing w:line="360" w:lineRule="auto"/>
        <w:ind w:hanging="357"/>
      </w:pPr>
      <w:r>
        <w:t xml:space="preserve">Research </w:t>
      </w:r>
      <w:r w:rsidR="004B6F7C">
        <w:t>reporting</w:t>
      </w:r>
    </w:p>
    <w:p w14:paraId="55E90AF5" w14:textId="6F301F3F" w:rsidR="004B6F7C" w:rsidRDefault="004B6F7C" w:rsidP="0057128B">
      <w:pPr>
        <w:pStyle w:val="ListParagraph"/>
        <w:keepNext/>
        <w:numPr>
          <w:ilvl w:val="1"/>
          <w:numId w:val="7"/>
        </w:numPr>
        <w:spacing w:line="360" w:lineRule="auto"/>
        <w:ind w:hanging="357"/>
      </w:pPr>
      <w:r>
        <w:t>Full reporting of participant characteristics including psychological factors, ethnicity, co-</w:t>
      </w:r>
      <w:r w:rsidR="00B06074">
        <w:t>morbidities,</w:t>
      </w:r>
      <w:r>
        <w:t xml:space="preserve"> and activity level is required in future tendinopathy research</w:t>
      </w:r>
    </w:p>
    <w:p w14:paraId="68562FB2" w14:textId="77777777" w:rsidR="004B6F7C" w:rsidRDefault="004B6F7C" w:rsidP="0073257F">
      <w:pPr>
        <w:pStyle w:val="ListParagraph"/>
        <w:numPr>
          <w:ilvl w:val="1"/>
          <w:numId w:val="7"/>
        </w:numPr>
        <w:spacing w:line="360" w:lineRule="auto"/>
      </w:pPr>
      <w:r>
        <w:t>Future research should consider sub-groups such as gender, age, sedentary/active/performance populations</w:t>
      </w:r>
    </w:p>
    <w:p w14:paraId="4D709F92" w14:textId="77777777" w:rsidR="004B6F7C" w:rsidRDefault="004B6F7C" w:rsidP="0073257F">
      <w:pPr>
        <w:pStyle w:val="ListParagraph"/>
        <w:numPr>
          <w:ilvl w:val="1"/>
          <w:numId w:val="7"/>
        </w:numPr>
        <w:spacing w:line="360" w:lineRule="auto"/>
      </w:pPr>
      <w:r w:rsidRPr="001F5FBD">
        <w:t xml:space="preserve">Full adherence to checklists for reporting exercise interventions is required to assist with both planning and reporting of interventions </w:t>
      </w:r>
    </w:p>
    <w:p w14:paraId="74A6910F" w14:textId="77777777" w:rsidR="004B6F7C" w:rsidRDefault="004B6F7C" w:rsidP="0073257F">
      <w:pPr>
        <w:pStyle w:val="ListParagraph"/>
        <w:numPr>
          <w:ilvl w:val="1"/>
          <w:numId w:val="7"/>
        </w:numPr>
        <w:spacing w:line="360" w:lineRule="auto"/>
      </w:pPr>
      <w:r w:rsidRPr="001F5FBD">
        <w:t>Future research should apply the ICON core health domains to ensure full reporting of all relevant biopsychosocial outcomes</w:t>
      </w:r>
    </w:p>
    <w:p w14:paraId="3517D14E" w14:textId="77777777" w:rsidR="004B6F7C" w:rsidRDefault="004B6F7C" w:rsidP="0073257F">
      <w:pPr>
        <w:pStyle w:val="ListParagraph"/>
        <w:numPr>
          <w:ilvl w:val="1"/>
          <w:numId w:val="7"/>
        </w:numPr>
        <w:spacing w:line="360" w:lineRule="auto"/>
      </w:pPr>
      <w:r w:rsidRPr="001F5FBD">
        <w:t xml:space="preserve">Future research should carefully consider adequate monitoring and reporting of adherence to exercise. This will require refinement of data collection methods, and we recommend considering objective monitoring </w:t>
      </w:r>
    </w:p>
    <w:p w14:paraId="6DC563B1" w14:textId="007B59B6" w:rsidR="004B6F7C" w:rsidRDefault="004B6F7C" w:rsidP="0073257F">
      <w:pPr>
        <w:pStyle w:val="ListParagraph"/>
        <w:numPr>
          <w:ilvl w:val="0"/>
          <w:numId w:val="7"/>
        </w:numPr>
        <w:spacing w:line="360" w:lineRule="auto"/>
      </w:pPr>
      <w:r>
        <w:t>Patient/practitioner lived experience</w:t>
      </w:r>
    </w:p>
    <w:p w14:paraId="488E6CA5" w14:textId="77777777" w:rsidR="004B6F7C" w:rsidRPr="006E3FAD" w:rsidRDefault="004B6F7C" w:rsidP="0073257F">
      <w:pPr>
        <w:pStyle w:val="ListParagraph"/>
        <w:numPr>
          <w:ilvl w:val="0"/>
          <w:numId w:val="10"/>
        </w:numPr>
        <w:spacing w:line="360" w:lineRule="auto"/>
      </w:pPr>
      <w:r w:rsidRPr="006E3FAD">
        <w:t xml:space="preserve">There is a need for research on participants’ views and experiences of exercise interventions across tendinopathies and populations. There is also a need for research on practitioners’ views of management approaches for different tendinopathies, how to navigate the research-practice gap and address barriers to exercise intervention implementation. </w:t>
      </w:r>
    </w:p>
    <w:p w14:paraId="1AEACCC9" w14:textId="41EC6EA0" w:rsidR="004B6F7C" w:rsidRDefault="004B6F7C" w:rsidP="0073257F">
      <w:pPr>
        <w:pStyle w:val="ListParagraph"/>
        <w:numPr>
          <w:ilvl w:val="0"/>
          <w:numId w:val="7"/>
        </w:numPr>
        <w:spacing w:line="360" w:lineRule="auto"/>
      </w:pPr>
      <w:r>
        <w:t xml:space="preserve">Future evidence synthesis by researchers should focus on conducting high quality systematic reviews (such as quantitative, qualitative, mixed method and cost-effectiveness) and combining high quality reviews into umbrella reviews. For this to occur, there is an urgent need for further high-quality primary studies that address the limitations identified in this review. </w:t>
      </w:r>
    </w:p>
    <w:p w14:paraId="265CB609" w14:textId="77777777" w:rsidR="00952129" w:rsidRDefault="00952129" w:rsidP="0073257F">
      <w:pPr>
        <w:spacing w:line="360" w:lineRule="auto"/>
      </w:pPr>
    </w:p>
    <w:p w14:paraId="79CCAD17" w14:textId="2E255BB2" w:rsidR="00A14905" w:rsidRDefault="00A14905" w:rsidP="0073257F">
      <w:pPr>
        <w:pStyle w:val="Heading2"/>
      </w:pPr>
      <w:r w:rsidRPr="226EABCF">
        <w:t>Acknowledgements</w:t>
      </w:r>
    </w:p>
    <w:p w14:paraId="381C1C68" w14:textId="6690C5E6" w:rsidR="00A14905" w:rsidRDefault="0079532C" w:rsidP="0073257F">
      <w:pPr>
        <w:spacing w:line="360" w:lineRule="auto"/>
      </w:pPr>
      <w:r>
        <w:t xml:space="preserve">The authors acknowledge and thank the </w:t>
      </w:r>
      <w:r w:rsidR="00B17BB2">
        <w:t>expert researchers who screened included studies to identify missing studies.</w:t>
      </w:r>
      <w:r w:rsidR="1CDE04A2">
        <w:t xml:space="preserve"> The authors also thank Tobias Bremer (Q</w:t>
      </w:r>
      <w:r w:rsidR="261CD214">
        <w:t xml:space="preserve">ueen Mary </w:t>
      </w:r>
      <w:r w:rsidR="1CDE04A2">
        <w:t>U</w:t>
      </w:r>
      <w:r w:rsidR="0FF2525A">
        <w:t xml:space="preserve">niversity of </w:t>
      </w:r>
      <w:r w:rsidR="1CDE04A2">
        <w:t>L</w:t>
      </w:r>
      <w:r w:rsidR="575FC0B4">
        <w:t>ondon</w:t>
      </w:r>
      <w:r w:rsidR="188A1A03">
        <w:t xml:space="preserve">), Professor </w:t>
      </w:r>
      <w:proofErr w:type="spellStart"/>
      <w:r w:rsidR="188A1A03">
        <w:t>Sakineh</w:t>
      </w:r>
      <w:proofErr w:type="spellEnd"/>
      <w:r w:rsidR="188A1A03">
        <w:t xml:space="preserve"> </w:t>
      </w:r>
      <w:proofErr w:type="spellStart"/>
      <w:r w:rsidR="188A1A03">
        <w:t>Hajebrahimi</w:t>
      </w:r>
      <w:proofErr w:type="spellEnd"/>
      <w:r w:rsidR="188A1A03">
        <w:t xml:space="preserve"> (Tabriz University of Medical Sciences) and Laura Albornos Munoz </w:t>
      </w:r>
      <w:r w:rsidR="2E2BA3C1">
        <w:lastRenderedPageBreak/>
        <w:t>(Spanish Centre for Evidence Based Nursing and Healthcare: a JBI Centre of Excellence)</w:t>
      </w:r>
      <w:r w:rsidR="751EF82B">
        <w:t xml:space="preserve"> for their assistance in translation of non-English studies</w:t>
      </w:r>
      <w:r w:rsidR="2E2BA3C1">
        <w:t>.</w:t>
      </w:r>
    </w:p>
    <w:p w14:paraId="144B4268" w14:textId="77777777" w:rsidR="003041B7" w:rsidRDefault="00A14905" w:rsidP="0073257F">
      <w:pPr>
        <w:pStyle w:val="Heading2"/>
      </w:pPr>
      <w:r>
        <w:t>Ethics</w:t>
      </w:r>
      <w:r w:rsidR="003041B7">
        <w:t xml:space="preserve"> </w:t>
      </w:r>
    </w:p>
    <w:p w14:paraId="50880E78" w14:textId="4C92618B" w:rsidR="0055417A" w:rsidRPr="0055417A" w:rsidRDefault="006D6772" w:rsidP="0073257F">
      <w:pPr>
        <w:spacing w:line="360" w:lineRule="auto"/>
      </w:pPr>
      <w:r>
        <w:t>This project involved secondary research and as such did not require ethical approval.</w:t>
      </w:r>
      <w:r w:rsidR="0055417A">
        <w:rPr>
          <w:b/>
        </w:rPr>
        <w:br w:type="page"/>
      </w:r>
    </w:p>
    <w:p w14:paraId="7797E7DE" w14:textId="63E0C68A" w:rsidR="003423D2" w:rsidRDefault="003423D2" w:rsidP="0073257F">
      <w:pPr>
        <w:pStyle w:val="Heading1"/>
      </w:pPr>
      <w:r>
        <w:lastRenderedPageBreak/>
        <w:t>REFERENCES</w:t>
      </w:r>
    </w:p>
    <w:p w14:paraId="1CFD27A0" w14:textId="77777777" w:rsidR="00073DB7" w:rsidRPr="00073DB7" w:rsidRDefault="00677523" w:rsidP="00073DB7">
      <w:pPr>
        <w:pStyle w:val="Bibliography"/>
        <w:ind w:left="567" w:hanging="567"/>
        <w:rPr>
          <w:rFonts w:ascii="Calibri" w:hAnsi="Calibri" w:cs="Calibri"/>
        </w:rPr>
      </w:pPr>
      <w:r>
        <w:fldChar w:fldCharType="begin"/>
      </w:r>
      <w:r w:rsidR="00920D87">
        <w:instrText xml:space="preserve"> ADDIN ZOTERO_BIBL {"uncited":[],"omitted":[],"custom":[]} CSL_BIBLIOGRAPHY </w:instrText>
      </w:r>
      <w:r>
        <w:fldChar w:fldCharType="separate"/>
      </w:r>
      <w:r w:rsidR="00073DB7" w:rsidRPr="00073DB7">
        <w:rPr>
          <w:rFonts w:ascii="Calibri" w:hAnsi="Calibri" w:cs="Calibri"/>
        </w:rPr>
        <w:t xml:space="preserve">1 </w:t>
      </w:r>
      <w:r w:rsidR="00073DB7" w:rsidRPr="00073DB7">
        <w:rPr>
          <w:rFonts w:ascii="Calibri" w:hAnsi="Calibri" w:cs="Calibri"/>
        </w:rPr>
        <w:tab/>
        <w:t xml:space="preserve">Page MJ, O’Connor DA, Malek M, </w:t>
      </w:r>
      <w:r w:rsidR="00073DB7" w:rsidRPr="00073DB7">
        <w:rPr>
          <w:rFonts w:ascii="Calibri" w:hAnsi="Calibri" w:cs="Calibri"/>
          <w:i/>
          <w:iCs/>
        </w:rPr>
        <w:t>et al.</w:t>
      </w:r>
      <w:r w:rsidR="00073DB7" w:rsidRPr="00073DB7">
        <w:rPr>
          <w:rFonts w:ascii="Calibri" w:hAnsi="Calibri" w:cs="Calibri"/>
        </w:rPr>
        <w:t xml:space="preserve"> Patients’ experience of shoulder disorders: a systematic review of qualitative studies for the OMERACT Shoulder Core Domain Set. </w:t>
      </w:r>
      <w:r w:rsidR="00073DB7" w:rsidRPr="00073DB7">
        <w:rPr>
          <w:rFonts w:ascii="Calibri" w:hAnsi="Calibri" w:cs="Calibri"/>
          <w:i/>
          <w:iCs/>
        </w:rPr>
        <w:t>Rheumatology</w:t>
      </w:r>
      <w:r w:rsidR="00073DB7" w:rsidRPr="00073DB7">
        <w:rPr>
          <w:rFonts w:ascii="Calibri" w:hAnsi="Calibri" w:cs="Calibri"/>
        </w:rPr>
        <w:t xml:space="preserve"> 2019;</w:t>
      </w:r>
      <w:r w:rsidR="00073DB7" w:rsidRPr="00073DB7">
        <w:rPr>
          <w:rFonts w:ascii="Calibri" w:hAnsi="Calibri" w:cs="Calibri"/>
          <w:b/>
          <w:bCs/>
        </w:rPr>
        <w:t>58</w:t>
      </w:r>
      <w:r w:rsidR="00073DB7" w:rsidRPr="00073DB7">
        <w:rPr>
          <w:rFonts w:ascii="Calibri" w:hAnsi="Calibri" w:cs="Calibri"/>
        </w:rPr>
        <w:t>:1410–21. doi:10.1093/rheumatology/kez046</w:t>
      </w:r>
    </w:p>
    <w:p w14:paraId="36E5E20B"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2 </w:t>
      </w:r>
      <w:r w:rsidRPr="00073DB7">
        <w:rPr>
          <w:rFonts w:ascii="Calibri" w:hAnsi="Calibri" w:cs="Calibri"/>
        </w:rPr>
        <w:tab/>
        <w:t xml:space="preserve">Murphy M, Travers M, Gibson W, </w:t>
      </w:r>
      <w:r w:rsidRPr="00073DB7">
        <w:rPr>
          <w:rFonts w:ascii="Calibri" w:hAnsi="Calibri" w:cs="Calibri"/>
          <w:i/>
          <w:iCs/>
        </w:rPr>
        <w:t>et al.</w:t>
      </w:r>
      <w:r w:rsidRPr="00073DB7">
        <w:rPr>
          <w:rFonts w:ascii="Calibri" w:hAnsi="Calibri" w:cs="Calibri"/>
        </w:rPr>
        <w:t xml:space="preserve"> Rate of Improvement of Pain and Function in Mid-Portion Achilles Tendinopathy with Loading Protocols: A Systematic Review and Longitudinal Meta-Analysis. </w:t>
      </w:r>
      <w:r w:rsidRPr="00073DB7">
        <w:rPr>
          <w:rFonts w:ascii="Calibri" w:hAnsi="Calibri" w:cs="Calibri"/>
          <w:i/>
          <w:iCs/>
        </w:rPr>
        <w:t>Sports Med</w:t>
      </w:r>
      <w:r w:rsidRPr="00073DB7">
        <w:rPr>
          <w:rFonts w:ascii="Calibri" w:hAnsi="Calibri" w:cs="Calibri"/>
        </w:rPr>
        <w:t xml:space="preserve"> 2018;</w:t>
      </w:r>
      <w:r w:rsidRPr="00073DB7">
        <w:rPr>
          <w:rFonts w:ascii="Calibri" w:hAnsi="Calibri" w:cs="Calibri"/>
          <w:b/>
          <w:bCs/>
        </w:rPr>
        <w:t>48</w:t>
      </w:r>
      <w:r w:rsidRPr="00073DB7">
        <w:rPr>
          <w:rFonts w:ascii="Calibri" w:hAnsi="Calibri" w:cs="Calibri"/>
        </w:rPr>
        <w:t>:1875–91. doi:10.1007/s40279-018-0932-2</w:t>
      </w:r>
    </w:p>
    <w:p w14:paraId="2C1D8D53"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3 </w:t>
      </w:r>
      <w:r w:rsidRPr="00073DB7">
        <w:rPr>
          <w:rFonts w:ascii="Calibri" w:hAnsi="Calibri" w:cs="Calibri"/>
        </w:rPr>
        <w:tab/>
        <w:t xml:space="preserve">Clausen MB, Merrild MB, Holm K, </w:t>
      </w:r>
      <w:r w:rsidRPr="00073DB7">
        <w:rPr>
          <w:rFonts w:ascii="Calibri" w:hAnsi="Calibri" w:cs="Calibri"/>
          <w:i/>
          <w:iCs/>
        </w:rPr>
        <w:t>et al.</w:t>
      </w:r>
      <w:r w:rsidRPr="00073DB7">
        <w:rPr>
          <w:rFonts w:ascii="Calibri" w:hAnsi="Calibri" w:cs="Calibri"/>
        </w:rPr>
        <w:t xml:space="preserve"> Less than half of patients in secondary care adheres to clinical guidelines for subacromial pain syndrome and have acceptable symptoms after treatment: A Danish nationwide cohort study of 3306 patients. </w:t>
      </w:r>
      <w:r w:rsidRPr="00073DB7">
        <w:rPr>
          <w:rFonts w:ascii="Calibri" w:hAnsi="Calibri" w:cs="Calibri"/>
          <w:i/>
          <w:iCs/>
        </w:rPr>
        <w:t>Musculoskeletal Science and Practice</w:t>
      </w:r>
      <w:r w:rsidRPr="00073DB7">
        <w:rPr>
          <w:rFonts w:ascii="Calibri" w:hAnsi="Calibri" w:cs="Calibri"/>
        </w:rPr>
        <w:t xml:space="preserve"> 2021;</w:t>
      </w:r>
      <w:r w:rsidRPr="00073DB7">
        <w:rPr>
          <w:rFonts w:ascii="Calibri" w:hAnsi="Calibri" w:cs="Calibri"/>
          <w:b/>
          <w:bCs/>
        </w:rPr>
        <w:t>52</w:t>
      </w:r>
      <w:r w:rsidRPr="00073DB7">
        <w:rPr>
          <w:rFonts w:ascii="Calibri" w:hAnsi="Calibri" w:cs="Calibri"/>
        </w:rPr>
        <w:t>:102322. doi:10.1016/j.msksp.2021.102322</w:t>
      </w:r>
    </w:p>
    <w:p w14:paraId="04C36E04"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4 </w:t>
      </w:r>
      <w:r w:rsidRPr="00073DB7">
        <w:rPr>
          <w:rFonts w:ascii="Calibri" w:hAnsi="Calibri" w:cs="Calibri"/>
        </w:rPr>
        <w:tab/>
        <w:t xml:space="preserve">Karanasios S, Korakakis V, Whiteley R, </w:t>
      </w:r>
      <w:r w:rsidRPr="00073DB7">
        <w:rPr>
          <w:rFonts w:ascii="Calibri" w:hAnsi="Calibri" w:cs="Calibri"/>
          <w:i/>
          <w:iCs/>
        </w:rPr>
        <w:t>et al.</w:t>
      </w:r>
      <w:r w:rsidRPr="00073DB7">
        <w:rPr>
          <w:rFonts w:ascii="Calibri" w:hAnsi="Calibri" w:cs="Calibri"/>
        </w:rPr>
        <w:t xml:space="preserve"> Exercise interventions in lateral elbow tendinopathy have better outcomes than passive interventions, but the effects are small: a systematic review and meta-analysis of 2123 subjects in 30 trials. </w:t>
      </w:r>
      <w:r w:rsidRPr="00073DB7">
        <w:rPr>
          <w:rFonts w:ascii="Calibri" w:hAnsi="Calibri" w:cs="Calibri"/>
          <w:i/>
          <w:iCs/>
        </w:rPr>
        <w:t>Br J Sports Med</w:t>
      </w:r>
      <w:r w:rsidRPr="00073DB7">
        <w:rPr>
          <w:rFonts w:ascii="Calibri" w:hAnsi="Calibri" w:cs="Calibri"/>
        </w:rPr>
        <w:t xml:space="preserve"> 2021;</w:t>
      </w:r>
      <w:r w:rsidRPr="00073DB7">
        <w:rPr>
          <w:rFonts w:ascii="Calibri" w:hAnsi="Calibri" w:cs="Calibri"/>
          <w:b/>
          <w:bCs/>
        </w:rPr>
        <w:t>55</w:t>
      </w:r>
      <w:r w:rsidRPr="00073DB7">
        <w:rPr>
          <w:rFonts w:ascii="Calibri" w:hAnsi="Calibri" w:cs="Calibri"/>
        </w:rPr>
        <w:t>:477–85. doi:10.1136/bjsports-2020-102525</w:t>
      </w:r>
    </w:p>
    <w:p w14:paraId="58604028"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5 </w:t>
      </w:r>
      <w:r w:rsidRPr="00073DB7">
        <w:rPr>
          <w:rFonts w:ascii="Calibri" w:hAnsi="Calibri" w:cs="Calibri"/>
        </w:rPr>
        <w:tab/>
        <w:t xml:space="preserve">Millar NL, Silbernagel KG, Thorborg K, </w:t>
      </w:r>
      <w:r w:rsidRPr="00073DB7">
        <w:rPr>
          <w:rFonts w:ascii="Calibri" w:hAnsi="Calibri" w:cs="Calibri"/>
          <w:i/>
          <w:iCs/>
        </w:rPr>
        <w:t>et al.</w:t>
      </w:r>
      <w:r w:rsidRPr="00073DB7">
        <w:rPr>
          <w:rFonts w:ascii="Calibri" w:hAnsi="Calibri" w:cs="Calibri"/>
        </w:rPr>
        <w:t xml:space="preserve"> Tendinopathy. </w:t>
      </w:r>
      <w:r w:rsidRPr="00073DB7">
        <w:rPr>
          <w:rFonts w:ascii="Calibri" w:hAnsi="Calibri" w:cs="Calibri"/>
          <w:i/>
          <w:iCs/>
        </w:rPr>
        <w:t>Nat Rev Dis Primers</w:t>
      </w:r>
      <w:r w:rsidRPr="00073DB7">
        <w:rPr>
          <w:rFonts w:ascii="Calibri" w:hAnsi="Calibri" w:cs="Calibri"/>
        </w:rPr>
        <w:t xml:space="preserve"> 2021;</w:t>
      </w:r>
      <w:r w:rsidRPr="00073DB7">
        <w:rPr>
          <w:rFonts w:ascii="Calibri" w:hAnsi="Calibri" w:cs="Calibri"/>
          <w:b/>
          <w:bCs/>
        </w:rPr>
        <w:t>7</w:t>
      </w:r>
      <w:r w:rsidRPr="00073DB7">
        <w:rPr>
          <w:rFonts w:ascii="Calibri" w:hAnsi="Calibri" w:cs="Calibri"/>
        </w:rPr>
        <w:t>:1. doi:10.1038/s41572-020-00234-1</w:t>
      </w:r>
    </w:p>
    <w:p w14:paraId="7F8A1AEA"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6 </w:t>
      </w:r>
      <w:r w:rsidRPr="00073DB7">
        <w:rPr>
          <w:rFonts w:ascii="Calibri" w:hAnsi="Calibri" w:cs="Calibri"/>
        </w:rPr>
        <w:tab/>
        <w:t xml:space="preserve">Nasser AM, Vicenzino B, Grimaldi A, </w:t>
      </w:r>
      <w:r w:rsidRPr="00073DB7">
        <w:rPr>
          <w:rFonts w:ascii="Calibri" w:hAnsi="Calibri" w:cs="Calibri"/>
          <w:i/>
          <w:iCs/>
        </w:rPr>
        <w:t>et al.</w:t>
      </w:r>
      <w:r w:rsidRPr="00073DB7">
        <w:rPr>
          <w:rFonts w:ascii="Calibri" w:hAnsi="Calibri" w:cs="Calibri"/>
        </w:rPr>
        <w:t xml:space="preserve"> Proximal Hamstring Tendinopathy: A Systematic Review of Interventions. </w:t>
      </w:r>
      <w:r w:rsidRPr="00073DB7">
        <w:rPr>
          <w:rFonts w:ascii="Calibri" w:hAnsi="Calibri" w:cs="Calibri"/>
          <w:i/>
          <w:iCs/>
        </w:rPr>
        <w:t>Int J Sports Phys Ther</w:t>
      </w:r>
      <w:r w:rsidRPr="00073DB7">
        <w:rPr>
          <w:rFonts w:ascii="Calibri" w:hAnsi="Calibri" w:cs="Calibri"/>
        </w:rPr>
        <w:t xml:space="preserve"> 2021;</w:t>
      </w:r>
      <w:r w:rsidRPr="00073DB7">
        <w:rPr>
          <w:rFonts w:ascii="Calibri" w:hAnsi="Calibri" w:cs="Calibri"/>
          <w:b/>
          <w:bCs/>
        </w:rPr>
        <w:t>16</w:t>
      </w:r>
      <w:r w:rsidRPr="00073DB7">
        <w:rPr>
          <w:rFonts w:ascii="Calibri" w:hAnsi="Calibri" w:cs="Calibri"/>
        </w:rPr>
        <w:t>:288–305. doi:10.26603/001c.21250</w:t>
      </w:r>
    </w:p>
    <w:p w14:paraId="703781C9"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7 </w:t>
      </w:r>
      <w:r w:rsidRPr="00073DB7">
        <w:rPr>
          <w:rFonts w:ascii="Calibri" w:hAnsi="Calibri" w:cs="Calibri"/>
        </w:rPr>
        <w:tab/>
        <w:t xml:space="preserve">Clifford C, Challoumas D, Paul L, </w:t>
      </w:r>
      <w:r w:rsidRPr="00073DB7">
        <w:rPr>
          <w:rFonts w:ascii="Calibri" w:hAnsi="Calibri" w:cs="Calibri"/>
          <w:i/>
          <w:iCs/>
        </w:rPr>
        <w:t>et al.</w:t>
      </w:r>
      <w:r w:rsidRPr="00073DB7">
        <w:rPr>
          <w:rFonts w:ascii="Calibri" w:hAnsi="Calibri" w:cs="Calibri"/>
        </w:rPr>
        <w:t xml:space="preserve"> Effectiveness of isometric exercise in the management of tendinopathy: a systematic review and meta-analysis of randomised trials. </w:t>
      </w:r>
      <w:r w:rsidRPr="00073DB7">
        <w:rPr>
          <w:rFonts w:ascii="Calibri" w:hAnsi="Calibri" w:cs="Calibri"/>
          <w:i/>
          <w:iCs/>
        </w:rPr>
        <w:t>BMJ Open Sport Exerc Med</w:t>
      </w:r>
      <w:r w:rsidRPr="00073DB7">
        <w:rPr>
          <w:rFonts w:ascii="Calibri" w:hAnsi="Calibri" w:cs="Calibri"/>
        </w:rPr>
        <w:t xml:space="preserve"> 2020;</w:t>
      </w:r>
      <w:r w:rsidRPr="00073DB7">
        <w:rPr>
          <w:rFonts w:ascii="Calibri" w:hAnsi="Calibri" w:cs="Calibri"/>
          <w:b/>
          <w:bCs/>
        </w:rPr>
        <w:t>6</w:t>
      </w:r>
      <w:r w:rsidRPr="00073DB7">
        <w:rPr>
          <w:rFonts w:ascii="Calibri" w:hAnsi="Calibri" w:cs="Calibri"/>
        </w:rPr>
        <w:t>:e000760. doi:10.1136/bmjsem-2020-000760</w:t>
      </w:r>
    </w:p>
    <w:p w14:paraId="1C7AE2C0"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8 </w:t>
      </w:r>
      <w:r w:rsidRPr="00073DB7">
        <w:rPr>
          <w:rFonts w:ascii="Calibri" w:hAnsi="Calibri" w:cs="Calibri"/>
        </w:rPr>
        <w:tab/>
        <w:t xml:space="preserve">Turner J, Malliaras P, Goulis J, </w:t>
      </w:r>
      <w:r w:rsidRPr="00073DB7">
        <w:rPr>
          <w:rFonts w:ascii="Calibri" w:hAnsi="Calibri" w:cs="Calibri"/>
          <w:i/>
          <w:iCs/>
        </w:rPr>
        <w:t>et al.</w:t>
      </w:r>
      <w:r w:rsidRPr="00073DB7">
        <w:rPr>
          <w:rFonts w:ascii="Calibri" w:hAnsi="Calibri" w:cs="Calibri"/>
        </w:rPr>
        <w:t xml:space="preserve"> “It’s disappointing and it’s pretty frustrating, because it feels like it’s something that will never go away.” A qualitative study exploring individuals’ beliefs and experiences of Achilles tendinopathy. </w:t>
      </w:r>
      <w:r w:rsidRPr="00073DB7">
        <w:rPr>
          <w:rFonts w:ascii="Calibri" w:hAnsi="Calibri" w:cs="Calibri"/>
          <w:i/>
          <w:iCs/>
        </w:rPr>
        <w:t>PLoS ONE</w:t>
      </w:r>
      <w:r w:rsidRPr="00073DB7">
        <w:rPr>
          <w:rFonts w:ascii="Calibri" w:hAnsi="Calibri" w:cs="Calibri"/>
        </w:rPr>
        <w:t xml:space="preserve"> 2020;</w:t>
      </w:r>
      <w:r w:rsidRPr="00073DB7">
        <w:rPr>
          <w:rFonts w:ascii="Calibri" w:hAnsi="Calibri" w:cs="Calibri"/>
          <w:b/>
          <w:bCs/>
        </w:rPr>
        <w:t>15</w:t>
      </w:r>
      <w:r w:rsidRPr="00073DB7">
        <w:rPr>
          <w:rFonts w:ascii="Calibri" w:hAnsi="Calibri" w:cs="Calibri"/>
        </w:rPr>
        <w:t>:e0233459. doi:10.1371/journal.pone.0233459</w:t>
      </w:r>
    </w:p>
    <w:p w14:paraId="3159946D"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9 </w:t>
      </w:r>
      <w:r w:rsidRPr="00073DB7">
        <w:rPr>
          <w:rFonts w:ascii="Calibri" w:hAnsi="Calibri" w:cs="Calibri"/>
        </w:rPr>
        <w:tab/>
        <w:t xml:space="preserve">dos Santos Franco YR, Miyamoto GC, Franco KFM, </w:t>
      </w:r>
      <w:r w:rsidRPr="00073DB7">
        <w:rPr>
          <w:rFonts w:ascii="Calibri" w:hAnsi="Calibri" w:cs="Calibri"/>
          <w:i/>
          <w:iCs/>
        </w:rPr>
        <w:t>et al.</w:t>
      </w:r>
      <w:r w:rsidRPr="00073DB7">
        <w:rPr>
          <w:rFonts w:ascii="Calibri" w:hAnsi="Calibri" w:cs="Calibri"/>
        </w:rPr>
        <w:t xml:space="preserve"> Exercise therapy in the treatment of tendinopathies of the lower limbs: a protocol of a systematic review. </w:t>
      </w:r>
      <w:r w:rsidRPr="00073DB7">
        <w:rPr>
          <w:rFonts w:ascii="Calibri" w:hAnsi="Calibri" w:cs="Calibri"/>
          <w:i/>
          <w:iCs/>
        </w:rPr>
        <w:t>Syst Rev</w:t>
      </w:r>
      <w:r w:rsidRPr="00073DB7">
        <w:rPr>
          <w:rFonts w:ascii="Calibri" w:hAnsi="Calibri" w:cs="Calibri"/>
        </w:rPr>
        <w:t xml:space="preserve"> 2019;</w:t>
      </w:r>
      <w:r w:rsidRPr="00073DB7">
        <w:rPr>
          <w:rFonts w:ascii="Calibri" w:hAnsi="Calibri" w:cs="Calibri"/>
          <w:b/>
          <w:bCs/>
        </w:rPr>
        <w:t>8</w:t>
      </w:r>
      <w:r w:rsidRPr="00073DB7">
        <w:rPr>
          <w:rFonts w:ascii="Calibri" w:hAnsi="Calibri" w:cs="Calibri"/>
        </w:rPr>
        <w:t>:142. doi:10.1186/s13643-019-1058-9</w:t>
      </w:r>
    </w:p>
    <w:p w14:paraId="549FE7AC"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10 </w:t>
      </w:r>
      <w:r w:rsidRPr="00073DB7">
        <w:rPr>
          <w:rFonts w:ascii="Calibri" w:hAnsi="Calibri" w:cs="Calibri"/>
        </w:rPr>
        <w:tab/>
        <w:t xml:space="preserve">Naunton J, Street G, Littlewood C, </w:t>
      </w:r>
      <w:r w:rsidRPr="00073DB7">
        <w:rPr>
          <w:rFonts w:ascii="Calibri" w:hAnsi="Calibri" w:cs="Calibri"/>
          <w:i/>
          <w:iCs/>
        </w:rPr>
        <w:t>et al.</w:t>
      </w:r>
      <w:r w:rsidRPr="00073DB7">
        <w:rPr>
          <w:rFonts w:ascii="Calibri" w:hAnsi="Calibri" w:cs="Calibri"/>
        </w:rPr>
        <w:t xml:space="preserve"> Effectiveness of progressive and resisted and non-progressive or non-resisted exercise in rotator cuff related shoulder pain: a systematic review and meta-analysis of randomized controlled trials. </w:t>
      </w:r>
      <w:r w:rsidRPr="00073DB7">
        <w:rPr>
          <w:rFonts w:ascii="Calibri" w:hAnsi="Calibri" w:cs="Calibri"/>
          <w:i/>
          <w:iCs/>
        </w:rPr>
        <w:t>Clin Rehabil</w:t>
      </w:r>
      <w:r w:rsidRPr="00073DB7">
        <w:rPr>
          <w:rFonts w:ascii="Calibri" w:hAnsi="Calibri" w:cs="Calibri"/>
        </w:rPr>
        <w:t xml:space="preserve"> 2020;</w:t>
      </w:r>
      <w:r w:rsidRPr="00073DB7">
        <w:rPr>
          <w:rFonts w:ascii="Calibri" w:hAnsi="Calibri" w:cs="Calibri"/>
          <w:b/>
          <w:bCs/>
        </w:rPr>
        <w:t>34</w:t>
      </w:r>
      <w:r w:rsidRPr="00073DB7">
        <w:rPr>
          <w:rFonts w:ascii="Calibri" w:hAnsi="Calibri" w:cs="Calibri"/>
        </w:rPr>
        <w:t>:1198–216. doi:10.1177/0269215520934147</w:t>
      </w:r>
    </w:p>
    <w:p w14:paraId="158795AB"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11 </w:t>
      </w:r>
      <w:r w:rsidRPr="00073DB7">
        <w:rPr>
          <w:rFonts w:ascii="Calibri" w:hAnsi="Calibri" w:cs="Calibri"/>
        </w:rPr>
        <w:tab/>
        <w:t xml:space="preserve">Peters M, Godfrey C, McInerney P, </w:t>
      </w:r>
      <w:r w:rsidRPr="00073DB7">
        <w:rPr>
          <w:rFonts w:ascii="Calibri" w:hAnsi="Calibri" w:cs="Calibri"/>
          <w:i/>
          <w:iCs/>
        </w:rPr>
        <w:t>et al.</w:t>
      </w:r>
      <w:r w:rsidRPr="00073DB7">
        <w:rPr>
          <w:rFonts w:ascii="Calibri" w:hAnsi="Calibri" w:cs="Calibri"/>
        </w:rPr>
        <w:t xml:space="preserve"> Chapter 11: Scoping Reviews. Joanna Briggs Institute Reviewer’s Manual, JBI. 2020.https://reviewersmanual.joannabriggs.org/</w:t>
      </w:r>
    </w:p>
    <w:p w14:paraId="0D856EFB"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12 </w:t>
      </w:r>
      <w:r w:rsidRPr="00073DB7">
        <w:rPr>
          <w:rFonts w:ascii="Calibri" w:hAnsi="Calibri" w:cs="Calibri"/>
        </w:rPr>
        <w:tab/>
        <w:t xml:space="preserve">Alexander LA, Morrissey D, Swinton P, </w:t>
      </w:r>
      <w:r w:rsidRPr="00073DB7">
        <w:rPr>
          <w:rFonts w:ascii="Calibri" w:hAnsi="Calibri" w:cs="Calibri"/>
          <w:i/>
          <w:iCs/>
        </w:rPr>
        <w:t>et al.</w:t>
      </w:r>
      <w:r w:rsidRPr="00073DB7">
        <w:rPr>
          <w:rFonts w:ascii="Calibri" w:hAnsi="Calibri" w:cs="Calibri"/>
        </w:rPr>
        <w:t xml:space="preserve"> Exercise therapy for the treatment of tendinopathies: a scoping review protocol. </w:t>
      </w:r>
      <w:r w:rsidRPr="00073DB7">
        <w:rPr>
          <w:rFonts w:ascii="Calibri" w:hAnsi="Calibri" w:cs="Calibri"/>
          <w:i/>
          <w:iCs/>
        </w:rPr>
        <w:t>JBI Evidence Synthesis</w:t>
      </w:r>
      <w:r w:rsidRPr="00073DB7">
        <w:rPr>
          <w:rFonts w:ascii="Calibri" w:hAnsi="Calibri" w:cs="Calibri"/>
        </w:rPr>
        <w:t xml:space="preserve"> 2021;</w:t>
      </w:r>
      <w:r w:rsidRPr="00073DB7">
        <w:rPr>
          <w:rFonts w:ascii="Calibri" w:hAnsi="Calibri" w:cs="Calibri"/>
          <w:b/>
          <w:bCs/>
        </w:rPr>
        <w:t>19</w:t>
      </w:r>
      <w:r w:rsidRPr="00073DB7">
        <w:rPr>
          <w:rFonts w:ascii="Calibri" w:hAnsi="Calibri" w:cs="Calibri"/>
        </w:rPr>
        <w:t>:1713–9. doi:10.11124/JBIES-20-00175</w:t>
      </w:r>
    </w:p>
    <w:p w14:paraId="52FF4CF4"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13 </w:t>
      </w:r>
      <w:r w:rsidRPr="00073DB7">
        <w:rPr>
          <w:rFonts w:ascii="Calibri" w:hAnsi="Calibri" w:cs="Calibri"/>
        </w:rPr>
        <w:tab/>
        <w:t xml:space="preserve">Tricco AC, Lillie E, Zarin W, </w:t>
      </w:r>
      <w:r w:rsidRPr="00073DB7">
        <w:rPr>
          <w:rFonts w:ascii="Calibri" w:hAnsi="Calibri" w:cs="Calibri"/>
          <w:i/>
          <w:iCs/>
        </w:rPr>
        <w:t>et al.</w:t>
      </w:r>
      <w:r w:rsidRPr="00073DB7">
        <w:rPr>
          <w:rFonts w:ascii="Calibri" w:hAnsi="Calibri" w:cs="Calibri"/>
        </w:rPr>
        <w:t xml:space="preserve"> PRISMA Extension for Scoping Reviews (PRISMA-ScR): Checklist and Explanation. </w:t>
      </w:r>
      <w:r w:rsidRPr="00073DB7">
        <w:rPr>
          <w:rFonts w:ascii="Calibri" w:hAnsi="Calibri" w:cs="Calibri"/>
          <w:i/>
          <w:iCs/>
        </w:rPr>
        <w:t>Ann Intern Med</w:t>
      </w:r>
      <w:r w:rsidRPr="00073DB7">
        <w:rPr>
          <w:rFonts w:ascii="Calibri" w:hAnsi="Calibri" w:cs="Calibri"/>
        </w:rPr>
        <w:t xml:space="preserve"> 2018;</w:t>
      </w:r>
      <w:r w:rsidRPr="00073DB7">
        <w:rPr>
          <w:rFonts w:ascii="Calibri" w:hAnsi="Calibri" w:cs="Calibri"/>
          <w:b/>
          <w:bCs/>
        </w:rPr>
        <w:t>169</w:t>
      </w:r>
      <w:r w:rsidRPr="00073DB7">
        <w:rPr>
          <w:rFonts w:ascii="Calibri" w:hAnsi="Calibri" w:cs="Calibri"/>
        </w:rPr>
        <w:t>:467–73. doi:10.7326/M18-0850</w:t>
      </w:r>
    </w:p>
    <w:p w14:paraId="27380834"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lastRenderedPageBreak/>
        <w:t xml:space="preserve">14 </w:t>
      </w:r>
      <w:r w:rsidRPr="00073DB7">
        <w:rPr>
          <w:rFonts w:ascii="Calibri" w:hAnsi="Calibri" w:cs="Calibri"/>
        </w:rPr>
        <w:tab/>
        <w:t xml:space="preserve">Dejaco B, Habets B, van Loon C, </w:t>
      </w:r>
      <w:r w:rsidRPr="00073DB7">
        <w:rPr>
          <w:rFonts w:ascii="Calibri" w:hAnsi="Calibri" w:cs="Calibri"/>
          <w:i/>
          <w:iCs/>
        </w:rPr>
        <w:t>et al.</w:t>
      </w:r>
      <w:r w:rsidRPr="00073DB7">
        <w:rPr>
          <w:rFonts w:ascii="Calibri" w:hAnsi="Calibri" w:cs="Calibri"/>
        </w:rPr>
        <w:t xml:space="preserve"> Eccentric versus conventional exercise therapy in patients with rotator cuff tendinopathy: a randomized, single blinded, clinical trial. </w:t>
      </w:r>
      <w:r w:rsidRPr="00073DB7">
        <w:rPr>
          <w:rFonts w:ascii="Calibri" w:hAnsi="Calibri" w:cs="Calibri"/>
          <w:i/>
          <w:iCs/>
        </w:rPr>
        <w:t>Knee Surg Sports Traumatol Arthrosc</w:t>
      </w:r>
      <w:r w:rsidRPr="00073DB7">
        <w:rPr>
          <w:rFonts w:ascii="Calibri" w:hAnsi="Calibri" w:cs="Calibri"/>
        </w:rPr>
        <w:t xml:space="preserve"> 2017;</w:t>
      </w:r>
      <w:r w:rsidRPr="00073DB7">
        <w:rPr>
          <w:rFonts w:ascii="Calibri" w:hAnsi="Calibri" w:cs="Calibri"/>
          <w:b/>
          <w:bCs/>
        </w:rPr>
        <w:t>25</w:t>
      </w:r>
      <w:r w:rsidRPr="00073DB7">
        <w:rPr>
          <w:rFonts w:ascii="Calibri" w:hAnsi="Calibri" w:cs="Calibri"/>
        </w:rPr>
        <w:t>:2051–9. doi:10.1007/s00167-016-4223-x</w:t>
      </w:r>
    </w:p>
    <w:p w14:paraId="2B9F8B62"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15 </w:t>
      </w:r>
      <w:r w:rsidRPr="00073DB7">
        <w:rPr>
          <w:rFonts w:ascii="Calibri" w:hAnsi="Calibri" w:cs="Calibri"/>
        </w:rPr>
        <w:tab/>
        <w:t xml:space="preserve">Morrissey D, Cotchett M, Said J’Bari A, </w:t>
      </w:r>
      <w:r w:rsidRPr="00073DB7">
        <w:rPr>
          <w:rFonts w:ascii="Calibri" w:hAnsi="Calibri" w:cs="Calibri"/>
          <w:i/>
          <w:iCs/>
        </w:rPr>
        <w:t>et al.</w:t>
      </w:r>
      <w:r w:rsidRPr="00073DB7">
        <w:rPr>
          <w:rFonts w:ascii="Calibri" w:hAnsi="Calibri" w:cs="Calibri"/>
        </w:rPr>
        <w:t xml:space="preserve"> Management of plantar heel pain: a best practice guide informed by a systematic review, expert clinical reasoning and patient values. </w:t>
      </w:r>
      <w:r w:rsidRPr="00073DB7">
        <w:rPr>
          <w:rFonts w:ascii="Calibri" w:hAnsi="Calibri" w:cs="Calibri"/>
          <w:i/>
          <w:iCs/>
        </w:rPr>
        <w:t>Br J Sports Med</w:t>
      </w:r>
      <w:r w:rsidRPr="00073DB7">
        <w:rPr>
          <w:rFonts w:ascii="Calibri" w:hAnsi="Calibri" w:cs="Calibri"/>
        </w:rPr>
        <w:t xml:space="preserve"> 2021;:bjsports-2019-101970. doi:10.1136/bjsports-2019-101970</w:t>
      </w:r>
    </w:p>
    <w:p w14:paraId="22B2F5EF" w14:textId="15115B2F"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16 </w:t>
      </w:r>
      <w:r w:rsidRPr="00073DB7">
        <w:rPr>
          <w:rFonts w:ascii="Calibri" w:hAnsi="Calibri" w:cs="Calibri"/>
        </w:rPr>
        <w:tab/>
        <w:t>United Nations Development Program. Human Development Reports [Internet]. New York: United Nations 2019. http://hdr.undp.org/sites/default/files/hdro_statistical_data_table1.pdf (accessed 2 Mar 2020).</w:t>
      </w:r>
    </w:p>
    <w:p w14:paraId="4691A8AB"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17 </w:t>
      </w:r>
      <w:r w:rsidRPr="00073DB7">
        <w:rPr>
          <w:rFonts w:ascii="Calibri" w:hAnsi="Calibri" w:cs="Calibri"/>
        </w:rPr>
        <w:tab/>
        <w:t xml:space="preserve">Alfredson H, Pietilä T, Jonsson P, </w:t>
      </w:r>
      <w:r w:rsidRPr="00073DB7">
        <w:rPr>
          <w:rFonts w:ascii="Calibri" w:hAnsi="Calibri" w:cs="Calibri"/>
          <w:i/>
          <w:iCs/>
        </w:rPr>
        <w:t>et al.</w:t>
      </w:r>
      <w:r w:rsidRPr="00073DB7">
        <w:rPr>
          <w:rFonts w:ascii="Calibri" w:hAnsi="Calibri" w:cs="Calibri"/>
        </w:rPr>
        <w:t xml:space="preserve"> Heavy-Load Eccentric Calf Muscle Training For the Treatment of Chronic Achilles Tendinosis. </w:t>
      </w:r>
      <w:r w:rsidRPr="00073DB7">
        <w:rPr>
          <w:rFonts w:ascii="Calibri" w:hAnsi="Calibri" w:cs="Calibri"/>
          <w:i/>
          <w:iCs/>
        </w:rPr>
        <w:t>Am J Sports Med</w:t>
      </w:r>
      <w:r w:rsidRPr="00073DB7">
        <w:rPr>
          <w:rFonts w:ascii="Calibri" w:hAnsi="Calibri" w:cs="Calibri"/>
        </w:rPr>
        <w:t xml:space="preserve"> 1998;</w:t>
      </w:r>
      <w:r w:rsidRPr="00073DB7">
        <w:rPr>
          <w:rFonts w:ascii="Calibri" w:hAnsi="Calibri" w:cs="Calibri"/>
          <w:b/>
          <w:bCs/>
        </w:rPr>
        <w:t>26</w:t>
      </w:r>
      <w:r w:rsidRPr="00073DB7">
        <w:rPr>
          <w:rFonts w:ascii="Calibri" w:hAnsi="Calibri" w:cs="Calibri"/>
        </w:rPr>
        <w:t>:360–6. doi:10.1177/03635465980260030301</w:t>
      </w:r>
    </w:p>
    <w:p w14:paraId="5D006F9A"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18 </w:t>
      </w:r>
      <w:r w:rsidRPr="00073DB7">
        <w:rPr>
          <w:rFonts w:ascii="Calibri" w:hAnsi="Calibri" w:cs="Calibri"/>
        </w:rPr>
        <w:tab/>
        <w:t xml:space="preserve">Hoffmann TC, Glasziou PP, Boutron I, </w:t>
      </w:r>
      <w:r w:rsidRPr="00073DB7">
        <w:rPr>
          <w:rFonts w:ascii="Calibri" w:hAnsi="Calibri" w:cs="Calibri"/>
          <w:i/>
          <w:iCs/>
        </w:rPr>
        <w:t>et al.</w:t>
      </w:r>
      <w:r w:rsidRPr="00073DB7">
        <w:rPr>
          <w:rFonts w:ascii="Calibri" w:hAnsi="Calibri" w:cs="Calibri"/>
        </w:rPr>
        <w:t xml:space="preserve"> Better reporting of interventions: template for intervention description and replication (TIDieR) checklist and guide. </w:t>
      </w:r>
      <w:r w:rsidRPr="00073DB7">
        <w:rPr>
          <w:rFonts w:ascii="Calibri" w:hAnsi="Calibri" w:cs="Calibri"/>
          <w:i/>
          <w:iCs/>
        </w:rPr>
        <w:t>BMJ</w:t>
      </w:r>
      <w:r w:rsidRPr="00073DB7">
        <w:rPr>
          <w:rFonts w:ascii="Calibri" w:hAnsi="Calibri" w:cs="Calibri"/>
        </w:rPr>
        <w:t xml:space="preserve"> 2014;</w:t>
      </w:r>
      <w:r w:rsidRPr="00073DB7">
        <w:rPr>
          <w:rFonts w:ascii="Calibri" w:hAnsi="Calibri" w:cs="Calibri"/>
          <w:b/>
          <w:bCs/>
        </w:rPr>
        <w:t>348</w:t>
      </w:r>
      <w:r w:rsidRPr="00073DB7">
        <w:rPr>
          <w:rFonts w:ascii="Calibri" w:hAnsi="Calibri" w:cs="Calibri"/>
        </w:rPr>
        <w:t>:g1687–g1687. doi:10.1136/bmj.g1687</w:t>
      </w:r>
    </w:p>
    <w:p w14:paraId="74C64BB9"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19 </w:t>
      </w:r>
      <w:r w:rsidRPr="00073DB7">
        <w:rPr>
          <w:rFonts w:ascii="Calibri" w:hAnsi="Calibri" w:cs="Calibri"/>
        </w:rPr>
        <w:tab/>
        <w:t xml:space="preserve">Vicenzino B, de Vos R-J, Alfredson H, </w:t>
      </w:r>
      <w:r w:rsidRPr="00073DB7">
        <w:rPr>
          <w:rFonts w:ascii="Calibri" w:hAnsi="Calibri" w:cs="Calibri"/>
          <w:i/>
          <w:iCs/>
        </w:rPr>
        <w:t>et al.</w:t>
      </w:r>
      <w:r w:rsidRPr="00073DB7">
        <w:rPr>
          <w:rFonts w:ascii="Calibri" w:hAnsi="Calibri" w:cs="Calibri"/>
        </w:rPr>
        <w:t xml:space="preserve"> ICON 2019—International Scientific Tendinopathy Symposium Consensus: There are nine core health-related domains for tendinopathy (CORE DOMAINS): Delphi study of healthcare professionals and patients. </w:t>
      </w:r>
      <w:r w:rsidRPr="00073DB7">
        <w:rPr>
          <w:rFonts w:ascii="Calibri" w:hAnsi="Calibri" w:cs="Calibri"/>
          <w:i/>
          <w:iCs/>
        </w:rPr>
        <w:t>Br J Sports Med</w:t>
      </w:r>
      <w:r w:rsidRPr="00073DB7">
        <w:rPr>
          <w:rFonts w:ascii="Calibri" w:hAnsi="Calibri" w:cs="Calibri"/>
        </w:rPr>
        <w:t xml:space="preserve"> 2020;</w:t>
      </w:r>
      <w:r w:rsidRPr="00073DB7">
        <w:rPr>
          <w:rFonts w:ascii="Calibri" w:hAnsi="Calibri" w:cs="Calibri"/>
          <w:b/>
          <w:bCs/>
        </w:rPr>
        <w:t>54</w:t>
      </w:r>
      <w:r w:rsidRPr="00073DB7">
        <w:rPr>
          <w:rFonts w:ascii="Calibri" w:hAnsi="Calibri" w:cs="Calibri"/>
        </w:rPr>
        <w:t>:444–51. doi:10.1136/bjsports-2019-100894</w:t>
      </w:r>
    </w:p>
    <w:p w14:paraId="7653DDCF"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20 </w:t>
      </w:r>
      <w:r w:rsidRPr="00073DB7">
        <w:rPr>
          <w:rFonts w:ascii="Calibri" w:hAnsi="Calibri" w:cs="Calibri"/>
        </w:rPr>
        <w:tab/>
        <w:t xml:space="preserve">Aria M, Cuccurullo C. bibliometrix : An R-tool for comprehensive science mapping analysis. </w:t>
      </w:r>
      <w:r w:rsidRPr="00073DB7">
        <w:rPr>
          <w:rFonts w:ascii="Calibri" w:hAnsi="Calibri" w:cs="Calibri"/>
          <w:i/>
          <w:iCs/>
        </w:rPr>
        <w:t>Journal of Informetrics</w:t>
      </w:r>
      <w:r w:rsidRPr="00073DB7">
        <w:rPr>
          <w:rFonts w:ascii="Calibri" w:hAnsi="Calibri" w:cs="Calibri"/>
        </w:rPr>
        <w:t xml:space="preserve"> 2017;</w:t>
      </w:r>
      <w:r w:rsidRPr="00073DB7">
        <w:rPr>
          <w:rFonts w:ascii="Calibri" w:hAnsi="Calibri" w:cs="Calibri"/>
          <w:b/>
          <w:bCs/>
        </w:rPr>
        <w:t>11</w:t>
      </w:r>
      <w:r w:rsidRPr="00073DB7">
        <w:rPr>
          <w:rFonts w:ascii="Calibri" w:hAnsi="Calibri" w:cs="Calibri"/>
        </w:rPr>
        <w:t>:959–75. doi:10.1016/j.joi.2017.08.007</w:t>
      </w:r>
    </w:p>
    <w:p w14:paraId="0A7133BB"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21 </w:t>
      </w:r>
      <w:r w:rsidRPr="00073DB7">
        <w:rPr>
          <w:rFonts w:ascii="Calibri" w:hAnsi="Calibri" w:cs="Calibri"/>
        </w:rPr>
        <w:tab/>
        <w:t xml:space="preserve">de Vos RJ, Weir A, van Schie HTM, </w:t>
      </w:r>
      <w:r w:rsidRPr="00073DB7">
        <w:rPr>
          <w:rFonts w:ascii="Calibri" w:hAnsi="Calibri" w:cs="Calibri"/>
          <w:i/>
          <w:iCs/>
        </w:rPr>
        <w:t>et al.</w:t>
      </w:r>
      <w:r w:rsidRPr="00073DB7">
        <w:rPr>
          <w:rFonts w:ascii="Calibri" w:hAnsi="Calibri" w:cs="Calibri"/>
        </w:rPr>
        <w:t xml:space="preserve"> Platelet-Rich Plasma Injection for Chronic Achilles Tendinopathy: A Randomized Controlled Trial. </w:t>
      </w:r>
      <w:r w:rsidRPr="00073DB7">
        <w:rPr>
          <w:rFonts w:ascii="Calibri" w:hAnsi="Calibri" w:cs="Calibri"/>
          <w:i/>
          <w:iCs/>
        </w:rPr>
        <w:t>JAMA</w:t>
      </w:r>
      <w:r w:rsidRPr="00073DB7">
        <w:rPr>
          <w:rFonts w:ascii="Calibri" w:hAnsi="Calibri" w:cs="Calibri"/>
        </w:rPr>
        <w:t xml:space="preserve"> 2010;</w:t>
      </w:r>
      <w:r w:rsidRPr="00073DB7">
        <w:rPr>
          <w:rFonts w:ascii="Calibri" w:hAnsi="Calibri" w:cs="Calibri"/>
          <w:b/>
          <w:bCs/>
        </w:rPr>
        <w:t>303</w:t>
      </w:r>
      <w:r w:rsidRPr="00073DB7">
        <w:rPr>
          <w:rFonts w:ascii="Calibri" w:hAnsi="Calibri" w:cs="Calibri"/>
        </w:rPr>
        <w:t>:144. doi:10.1001/jama.2009.1986</w:t>
      </w:r>
    </w:p>
    <w:p w14:paraId="33DA4535"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22 </w:t>
      </w:r>
      <w:r w:rsidRPr="00073DB7">
        <w:rPr>
          <w:rFonts w:ascii="Calibri" w:hAnsi="Calibri" w:cs="Calibri"/>
        </w:rPr>
        <w:tab/>
        <w:t xml:space="preserve">de Jonge S, de Vos RJ, Weir A, </w:t>
      </w:r>
      <w:r w:rsidRPr="00073DB7">
        <w:rPr>
          <w:rFonts w:ascii="Calibri" w:hAnsi="Calibri" w:cs="Calibri"/>
          <w:i/>
          <w:iCs/>
        </w:rPr>
        <w:t>et al.</w:t>
      </w:r>
      <w:r w:rsidRPr="00073DB7">
        <w:rPr>
          <w:rFonts w:ascii="Calibri" w:hAnsi="Calibri" w:cs="Calibri"/>
        </w:rPr>
        <w:t xml:space="preserve"> One-Year Follow-up of Platelet-Rich Plasma Treatment in Chronic Achilles Tendinopathy: A Double-Blind Randomized Placebo-Controlled Trial. </w:t>
      </w:r>
      <w:r w:rsidRPr="00073DB7">
        <w:rPr>
          <w:rFonts w:ascii="Calibri" w:hAnsi="Calibri" w:cs="Calibri"/>
          <w:i/>
          <w:iCs/>
        </w:rPr>
        <w:t>Am J Sports Med</w:t>
      </w:r>
      <w:r w:rsidRPr="00073DB7">
        <w:rPr>
          <w:rFonts w:ascii="Calibri" w:hAnsi="Calibri" w:cs="Calibri"/>
        </w:rPr>
        <w:t xml:space="preserve"> 2011;</w:t>
      </w:r>
      <w:r w:rsidRPr="00073DB7">
        <w:rPr>
          <w:rFonts w:ascii="Calibri" w:hAnsi="Calibri" w:cs="Calibri"/>
          <w:b/>
          <w:bCs/>
        </w:rPr>
        <w:t>39</w:t>
      </w:r>
      <w:r w:rsidRPr="00073DB7">
        <w:rPr>
          <w:rFonts w:ascii="Calibri" w:hAnsi="Calibri" w:cs="Calibri"/>
        </w:rPr>
        <w:t>:1623–30. doi:10.1177/0363546511404877</w:t>
      </w:r>
    </w:p>
    <w:p w14:paraId="579DC58A"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23 </w:t>
      </w:r>
      <w:r w:rsidRPr="00073DB7">
        <w:rPr>
          <w:rFonts w:ascii="Calibri" w:hAnsi="Calibri" w:cs="Calibri"/>
        </w:rPr>
        <w:tab/>
        <w:t xml:space="preserve">Malliaras P, Barton CJ, Reeves ND, </w:t>
      </w:r>
      <w:r w:rsidRPr="00073DB7">
        <w:rPr>
          <w:rFonts w:ascii="Calibri" w:hAnsi="Calibri" w:cs="Calibri"/>
          <w:i/>
          <w:iCs/>
        </w:rPr>
        <w:t>et al.</w:t>
      </w:r>
      <w:r w:rsidRPr="00073DB7">
        <w:rPr>
          <w:rFonts w:ascii="Calibri" w:hAnsi="Calibri" w:cs="Calibri"/>
        </w:rPr>
        <w:t xml:space="preserve"> Achilles and Patellar Tendinopathy Loading Programmes: A Systematic Review Comparing Clinical Outcomes and Identifying Potential Mechanisms for Effectiveness. </w:t>
      </w:r>
      <w:r w:rsidRPr="00073DB7">
        <w:rPr>
          <w:rFonts w:ascii="Calibri" w:hAnsi="Calibri" w:cs="Calibri"/>
          <w:i/>
          <w:iCs/>
        </w:rPr>
        <w:t>Sports Med</w:t>
      </w:r>
      <w:r w:rsidRPr="00073DB7">
        <w:rPr>
          <w:rFonts w:ascii="Calibri" w:hAnsi="Calibri" w:cs="Calibri"/>
        </w:rPr>
        <w:t xml:space="preserve"> 2013;</w:t>
      </w:r>
      <w:r w:rsidRPr="00073DB7">
        <w:rPr>
          <w:rFonts w:ascii="Calibri" w:hAnsi="Calibri" w:cs="Calibri"/>
          <w:b/>
          <w:bCs/>
        </w:rPr>
        <w:t>43</w:t>
      </w:r>
      <w:r w:rsidRPr="00073DB7">
        <w:rPr>
          <w:rFonts w:ascii="Calibri" w:hAnsi="Calibri" w:cs="Calibri"/>
        </w:rPr>
        <w:t>:267–86. doi:10.1007/s40279-013-0019-z</w:t>
      </w:r>
    </w:p>
    <w:p w14:paraId="5AB01D51"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24 </w:t>
      </w:r>
      <w:r w:rsidRPr="00073DB7">
        <w:rPr>
          <w:rFonts w:ascii="Calibri" w:hAnsi="Calibri" w:cs="Calibri"/>
        </w:rPr>
        <w:tab/>
        <w:t xml:space="preserve">Thanasas C, Papadimitriou G, Charalambidis C, </w:t>
      </w:r>
      <w:r w:rsidRPr="00073DB7">
        <w:rPr>
          <w:rFonts w:ascii="Calibri" w:hAnsi="Calibri" w:cs="Calibri"/>
          <w:i/>
          <w:iCs/>
        </w:rPr>
        <w:t>et al.</w:t>
      </w:r>
      <w:r w:rsidRPr="00073DB7">
        <w:rPr>
          <w:rFonts w:ascii="Calibri" w:hAnsi="Calibri" w:cs="Calibri"/>
        </w:rPr>
        <w:t xml:space="preserve"> Platelet-Rich Plasma Versus Autologous Whole Blood for the Treatment of Chronic Lateral Elbow Epicondylitis: A Randomized Controlled Clinical Trial. </w:t>
      </w:r>
      <w:r w:rsidRPr="00073DB7">
        <w:rPr>
          <w:rFonts w:ascii="Calibri" w:hAnsi="Calibri" w:cs="Calibri"/>
          <w:i/>
          <w:iCs/>
        </w:rPr>
        <w:t>Am J Sports Med</w:t>
      </w:r>
      <w:r w:rsidRPr="00073DB7">
        <w:rPr>
          <w:rFonts w:ascii="Calibri" w:hAnsi="Calibri" w:cs="Calibri"/>
        </w:rPr>
        <w:t xml:space="preserve"> 2011;</w:t>
      </w:r>
      <w:r w:rsidRPr="00073DB7">
        <w:rPr>
          <w:rFonts w:ascii="Calibri" w:hAnsi="Calibri" w:cs="Calibri"/>
          <w:b/>
          <w:bCs/>
        </w:rPr>
        <w:t>39</w:t>
      </w:r>
      <w:r w:rsidRPr="00073DB7">
        <w:rPr>
          <w:rFonts w:ascii="Calibri" w:hAnsi="Calibri" w:cs="Calibri"/>
        </w:rPr>
        <w:t>:2130–4. doi:10.1177/0363546511417113</w:t>
      </w:r>
    </w:p>
    <w:p w14:paraId="316192A1"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25 </w:t>
      </w:r>
      <w:r w:rsidRPr="00073DB7">
        <w:rPr>
          <w:rFonts w:ascii="Calibri" w:hAnsi="Calibri" w:cs="Calibri"/>
        </w:rPr>
        <w:tab/>
        <w:t xml:space="preserve">Winters M, Holden S, Lura CB, </w:t>
      </w:r>
      <w:r w:rsidRPr="00073DB7">
        <w:rPr>
          <w:rFonts w:ascii="Calibri" w:hAnsi="Calibri" w:cs="Calibri"/>
          <w:i/>
          <w:iCs/>
        </w:rPr>
        <w:t>et al.</w:t>
      </w:r>
      <w:r w:rsidRPr="00073DB7">
        <w:rPr>
          <w:rFonts w:ascii="Calibri" w:hAnsi="Calibri" w:cs="Calibri"/>
        </w:rPr>
        <w:t xml:space="preserve"> Comparative effectiveness of treatments for patellofemoral pain: a living systematic review with network meta-analysis. </w:t>
      </w:r>
      <w:r w:rsidRPr="00073DB7">
        <w:rPr>
          <w:rFonts w:ascii="Calibri" w:hAnsi="Calibri" w:cs="Calibri"/>
          <w:i/>
          <w:iCs/>
        </w:rPr>
        <w:t>Br J Sports Med</w:t>
      </w:r>
      <w:r w:rsidRPr="00073DB7">
        <w:rPr>
          <w:rFonts w:ascii="Calibri" w:hAnsi="Calibri" w:cs="Calibri"/>
        </w:rPr>
        <w:t xml:space="preserve"> 2021;</w:t>
      </w:r>
      <w:r w:rsidRPr="00073DB7">
        <w:rPr>
          <w:rFonts w:ascii="Calibri" w:hAnsi="Calibri" w:cs="Calibri"/>
          <w:b/>
          <w:bCs/>
        </w:rPr>
        <w:t>55</w:t>
      </w:r>
      <w:r w:rsidRPr="00073DB7">
        <w:rPr>
          <w:rFonts w:ascii="Calibri" w:hAnsi="Calibri" w:cs="Calibri"/>
        </w:rPr>
        <w:t>:369–77. doi:10.1136/bjsports-2020-102819</w:t>
      </w:r>
    </w:p>
    <w:p w14:paraId="0742FB0A"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26 </w:t>
      </w:r>
      <w:r w:rsidRPr="00073DB7">
        <w:rPr>
          <w:rFonts w:ascii="Calibri" w:hAnsi="Calibri" w:cs="Calibri"/>
        </w:rPr>
        <w:tab/>
        <w:t xml:space="preserve">Irby A, Gutierrez J, Chamberlin C, </w:t>
      </w:r>
      <w:r w:rsidRPr="00073DB7">
        <w:rPr>
          <w:rFonts w:ascii="Calibri" w:hAnsi="Calibri" w:cs="Calibri"/>
          <w:i/>
          <w:iCs/>
        </w:rPr>
        <w:t>et al.</w:t>
      </w:r>
      <w:r w:rsidRPr="00073DB7">
        <w:rPr>
          <w:rFonts w:ascii="Calibri" w:hAnsi="Calibri" w:cs="Calibri"/>
        </w:rPr>
        <w:t xml:space="preserve"> Clinical management of tendinopathy: A systematic review of systematic reviews evaluating the effectiveness of tendinopathy treatments. </w:t>
      </w:r>
      <w:r w:rsidRPr="00073DB7">
        <w:rPr>
          <w:rFonts w:ascii="Calibri" w:hAnsi="Calibri" w:cs="Calibri"/>
          <w:i/>
          <w:iCs/>
        </w:rPr>
        <w:t>Scand J Med Sci Sports</w:t>
      </w:r>
      <w:r w:rsidRPr="00073DB7">
        <w:rPr>
          <w:rFonts w:ascii="Calibri" w:hAnsi="Calibri" w:cs="Calibri"/>
        </w:rPr>
        <w:t xml:space="preserve"> 2020;</w:t>
      </w:r>
      <w:r w:rsidRPr="00073DB7">
        <w:rPr>
          <w:rFonts w:ascii="Calibri" w:hAnsi="Calibri" w:cs="Calibri"/>
          <w:b/>
          <w:bCs/>
        </w:rPr>
        <w:t>30</w:t>
      </w:r>
      <w:r w:rsidRPr="00073DB7">
        <w:rPr>
          <w:rFonts w:ascii="Calibri" w:hAnsi="Calibri" w:cs="Calibri"/>
        </w:rPr>
        <w:t>:1810–26. doi:10.1111/sms.13734</w:t>
      </w:r>
    </w:p>
    <w:p w14:paraId="2FA56C3A"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lastRenderedPageBreak/>
        <w:t xml:space="preserve">27 </w:t>
      </w:r>
      <w:r w:rsidRPr="00073DB7">
        <w:rPr>
          <w:rFonts w:ascii="Calibri" w:hAnsi="Calibri" w:cs="Calibri"/>
        </w:rPr>
        <w:tab/>
        <w:t xml:space="preserve">Major DH, Røe Y, Grotle M, </w:t>
      </w:r>
      <w:r w:rsidRPr="00073DB7">
        <w:rPr>
          <w:rFonts w:ascii="Calibri" w:hAnsi="Calibri" w:cs="Calibri"/>
          <w:i/>
          <w:iCs/>
        </w:rPr>
        <w:t>et al.</w:t>
      </w:r>
      <w:r w:rsidRPr="00073DB7">
        <w:rPr>
          <w:rFonts w:ascii="Calibri" w:hAnsi="Calibri" w:cs="Calibri"/>
        </w:rPr>
        <w:t xml:space="preserve"> Content reporting of exercise interventions in rotator cuff disease trials: results from application of the Consensus on Exercise Reporting Template (CERT). </w:t>
      </w:r>
      <w:r w:rsidRPr="00073DB7">
        <w:rPr>
          <w:rFonts w:ascii="Calibri" w:hAnsi="Calibri" w:cs="Calibri"/>
          <w:i/>
          <w:iCs/>
        </w:rPr>
        <w:t>BMJ Open Sport Exerc Med</w:t>
      </w:r>
      <w:r w:rsidRPr="00073DB7">
        <w:rPr>
          <w:rFonts w:ascii="Calibri" w:hAnsi="Calibri" w:cs="Calibri"/>
        </w:rPr>
        <w:t xml:space="preserve"> 2019;</w:t>
      </w:r>
      <w:r w:rsidRPr="00073DB7">
        <w:rPr>
          <w:rFonts w:ascii="Calibri" w:hAnsi="Calibri" w:cs="Calibri"/>
          <w:b/>
          <w:bCs/>
        </w:rPr>
        <w:t>5</w:t>
      </w:r>
      <w:r w:rsidRPr="00073DB7">
        <w:rPr>
          <w:rFonts w:ascii="Calibri" w:hAnsi="Calibri" w:cs="Calibri"/>
        </w:rPr>
        <w:t>:e000656. doi:10.1136/bmjsem-2019-000656</w:t>
      </w:r>
    </w:p>
    <w:p w14:paraId="7835AC62"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28 </w:t>
      </w:r>
      <w:r w:rsidRPr="00073DB7">
        <w:rPr>
          <w:rFonts w:ascii="Calibri" w:hAnsi="Calibri" w:cs="Calibri"/>
        </w:rPr>
        <w:tab/>
        <w:t xml:space="preserve">Sluijs EM, Kok GJ, van der Zee J. Correlates of Exercise Compliance in Physical Therapy. </w:t>
      </w:r>
      <w:r w:rsidRPr="00073DB7">
        <w:rPr>
          <w:rFonts w:ascii="Calibri" w:hAnsi="Calibri" w:cs="Calibri"/>
          <w:i/>
          <w:iCs/>
        </w:rPr>
        <w:t>Physical Therapy</w:t>
      </w:r>
      <w:r w:rsidRPr="00073DB7">
        <w:rPr>
          <w:rFonts w:ascii="Calibri" w:hAnsi="Calibri" w:cs="Calibri"/>
        </w:rPr>
        <w:t xml:space="preserve"> 1993;</w:t>
      </w:r>
      <w:r w:rsidRPr="00073DB7">
        <w:rPr>
          <w:rFonts w:ascii="Calibri" w:hAnsi="Calibri" w:cs="Calibri"/>
          <w:b/>
          <w:bCs/>
        </w:rPr>
        <w:t>73</w:t>
      </w:r>
      <w:r w:rsidRPr="00073DB7">
        <w:rPr>
          <w:rFonts w:ascii="Calibri" w:hAnsi="Calibri" w:cs="Calibri"/>
        </w:rPr>
        <w:t>:771–82. doi:10.1093/ptj/73.11.771</w:t>
      </w:r>
    </w:p>
    <w:p w14:paraId="3E231819"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29 </w:t>
      </w:r>
      <w:r w:rsidRPr="00073DB7">
        <w:rPr>
          <w:rFonts w:ascii="Calibri" w:hAnsi="Calibri" w:cs="Calibri"/>
        </w:rPr>
        <w:tab/>
        <w:t xml:space="preserve">Mihalko SL, Brenes GA, Farmer DF, </w:t>
      </w:r>
      <w:r w:rsidRPr="00073DB7">
        <w:rPr>
          <w:rFonts w:ascii="Calibri" w:hAnsi="Calibri" w:cs="Calibri"/>
          <w:i/>
          <w:iCs/>
        </w:rPr>
        <w:t>et al.</w:t>
      </w:r>
      <w:r w:rsidRPr="00073DB7">
        <w:rPr>
          <w:rFonts w:ascii="Calibri" w:hAnsi="Calibri" w:cs="Calibri"/>
        </w:rPr>
        <w:t xml:space="preserve"> Challenges and innovations in enhancing adherence. </w:t>
      </w:r>
      <w:r w:rsidRPr="00073DB7">
        <w:rPr>
          <w:rFonts w:ascii="Calibri" w:hAnsi="Calibri" w:cs="Calibri"/>
          <w:i/>
          <w:iCs/>
        </w:rPr>
        <w:t>Controlled Clinical Trials</w:t>
      </w:r>
      <w:r w:rsidRPr="00073DB7">
        <w:rPr>
          <w:rFonts w:ascii="Calibri" w:hAnsi="Calibri" w:cs="Calibri"/>
        </w:rPr>
        <w:t xml:space="preserve"> 2004;</w:t>
      </w:r>
      <w:r w:rsidRPr="00073DB7">
        <w:rPr>
          <w:rFonts w:ascii="Calibri" w:hAnsi="Calibri" w:cs="Calibri"/>
          <w:b/>
          <w:bCs/>
        </w:rPr>
        <w:t>25</w:t>
      </w:r>
      <w:r w:rsidRPr="00073DB7">
        <w:rPr>
          <w:rFonts w:ascii="Calibri" w:hAnsi="Calibri" w:cs="Calibri"/>
        </w:rPr>
        <w:t>:447–57. doi:10.1016/j.cct.2004.07.003</w:t>
      </w:r>
    </w:p>
    <w:p w14:paraId="63605185"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30 </w:t>
      </w:r>
      <w:r w:rsidRPr="00073DB7">
        <w:rPr>
          <w:rFonts w:ascii="Calibri" w:hAnsi="Calibri" w:cs="Calibri"/>
        </w:rPr>
        <w:tab/>
        <w:t xml:space="preserve">Thompson EL, Broadbent J, Bertino MD, </w:t>
      </w:r>
      <w:r w:rsidRPr="00073DB7">
        <w:rPr>
          <w:rFonts w:ascii="Calibri" w:hAnsi="Calibri" w:cs="Calibri"/>
          <w:i/>
          <w:iCs/>
        </w:rPr>
        <w:t>et al.</w:t>
      </w:r>
      <w:r w:rsidRPr="00073DB7">
        <w:rPr>
          <w:rFonts w:ascii="Calibri" w:hAnsi="Calibri" w:cs="Calibri"/>
        </w:rPr>
        <w:t xml:space="preserve"> Do Pain-related Beliefs Influence Adherence to Multidisciplinary Rehabilitation?: A Systematic Review. </w:t>
      </w:r>
      <w:r w:rsidRPr="00073DB7">
        <w:rPr>
          <w:rFonts w:ascii="Calibri" w:hAnsi="Calibri" w:cs="Calibri"/>
          <w:i/>
          <w:iCs/>
        </w:rPr>
        <w:t>The Clinical Journal of Pain</w:t>
      </w:r>
      <w:r w:rsidRPr="00073DB7">
        <w:rPr>
          <w:rFonts w:ascii="Calibri" w:hAnsi="Calibri" w:cs="Calibri"/>
        </w:rPr>
        <w:t xml:space="preserve"> 2016;</w:t>
      </w:r>
      <w:r w:rsidRPr="00073DB7">
        <w:rPr>
          <w:rFonts w:ascii="Calibri" w:hAnsi="Calibri" w:cs="Calibri"/>
          <w:b/>
          <w:bCs/>
        </w:rPr>
        <w:t>32</w:t>
      </w:r>
      <w:r w:rsidRPr="00073DB7">
        <w:rPr>
          <w:rFonts w:ascii="Calibri" w:hAnsi="Calibri" w:cs="Calibri"/>
        </w:rPr>
        <w:t>:164–78. doi:10.1097/AJP.0000000000000235</w:t>
      </w:r>
    </w:p>
    <w:p w14:paraId="01243E60"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31 </w:t>
      </w:r>
      <w:r w:rsidRPr="00073DB7">
        <w:rPr>
          <w:rFonts w:ascii="Calibri" w:hAnsi="Calibri" w:cs="Calibri"/>
        </w:rPr>
        <w:tab/>
        <w:t xml:space="preserve">Ramiro S, Page MJ, Whittle SL, </w:t>
      </w:r>
      <w:r w:rsidRPr="00073DB7">
        <w:rPr>
          <w:rFonts w:ascii="Calibri" w:hAnsi="Calibri" w:cs="Calibri"/>
          <w:i/>
          <w:iCs/>
        </w:rPr>
        <w:t>et al.</w:t>
      </w:r>
      <w:r w:rsidRPr="00073DB7">
        <w:rPr>
          <w:rFonts w:ascii="Calibri" w:hAnsi="Calibri" w:cs="Calibri"/>
        </w:rPr>
        <w:t xml:space="preserve"> The OMERACT Core Domain Set for Clinical Trials of Shoulder Disorders. </w:t>
      </w:r>
      <w:r w:rsidRPr="00073DB7">
        <w:rPr>
          <w:rFonts w:ascii="Calibri" w:hAnsi="Calibri" w:cs="Calibri"/>
          <w:i/>
          <w:iCs/>
        </w:rPr>
        <w:t>J Rheumatol</w:t>
      </w:r>
      <w:r w:rsidRPr="00073DB7">
        <w:rPr>
          <w:rFonts w:ascii="Calibri" w:hAnsi="Calibri" w:cs="Calibri"/>
        </w:rPr>
        <w:t xml:space="preserve"> 2019;</w:t>
      </w:r>
      <w:r w:rsidRPr="00073DB7">
        <w:rPr>
          <w:rFonts w:ascii="Calibri" w:hAnsi="Calibri" w:cs="Calibri"/>
          <w:b/>
          <w:bCs/>
        </w:rPr>
        <w:t>46</w:t>
      </w:r>
      <w:r w:rsidRPr="00073DB7">
        <w:rPr>
          <w:rFonts w:ascii="Calibri" w:hAnsi="Calibri" w:cs="Calibri"/>
        </w:rPr>
        <w:t>:969–75. doi:10.3899/jrheum.181070</w:t>
      </w:r>
    </w:p>
    <w:p w14:paraId="6679A14B"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32 </w:t>
      </w:r>
      <w:r w:rsidRPr="00073DB7">
        <w:rPr>
          <w:rFonts w:ascii="Calibri" w:hAnsi="Calibri" w:cs="Calibri"/>
        </w:rPr>
        <w:tab/>
        <w:t xml:space="preserve">Lewis R, Gómez Álvarez CB, Rayman M, </w:t>
      </w:r>
      <w:r w:rsidRPr="00073DB7">
        <w:rPr>
          <w:rFonts w:ascii="Calibri" w:hAnsi="Calibri" w:cs="Calibri"/>
          <w:i/>
          <w:iCs/>
        </w:rPr>
        <w:t>et al.</w:t>
      </w:r>
      <w:r w:rsidRPr="00073DB7">
        <w:rPr>
          <w:rFonts w:ascii="Calibri" w:hAnsi="Calibri" w:cs="Calibri"/>
        </w:rPr>
        <w:t xml:space="preserve"> Strategies for optimising musculoskeletal health in the 21st century. </w:t>
      </w:r>
      <w:r w:rsidRPr="00073DB7">
        <w:rPr>
          <w:rFonts w:ascii="Calibri" w:hAnsi="Calibri" w:cs="Calibri"/>
          <w:i/>
          <w:iCs/>
        </w:rPr>
        <w:t>BMC Musculoskelet Disord</w:t>
      </w:r>
      <w:r w:rsidRPr="00073DB7">
        <w:rPr>
          <w:rFonts w:ascii="Calibri" w:hAnsi="Calibri" w:cs="Calibri"/>
        </w:rPr>
        <w:t xml:space="preserve"> 2019;</w:t>
      </w:r>
      <w:r w:rsidRPr="00073DB7">
        <w:rPr>
          <w:rFonts w:ascii="Calibri" w:hAnsi="Calibri" w:cs="Calibri"/>
          <w:b/>
          <w:bCs/>
        </w:rPr>
        <w:t>20</w:t>
      </w:r>
      <w:r w:rsidRPr="00073DB7">
        <w:rPr>
          <w:rFonts w:ascii="Calibri" w:hAnsi="Calibri" w:cs="Calibri"/>
        </w:rPr>
        <w:t>:164. doi:10.1186/s12891-019-2510-7</w:t>
      </w:r>
    </w:p>
    <w:p w14:paraId="632DB1D5"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33 </w:t>
      </w:r>
      <w:r w:rsidRPr="00073DB7">
        <w:rPr>
          <w:rFonts w:ascii="Calibri" w:hAnsi="Calibri" w:cs="Calibri"/>
        </w:rPr>
        <w:tab/>
        <w:t xml:space="preserve">Mc Auliffe S, O’Sullivan K, Whiteley R, </w:t>
      </w:r>
      <w:r w:rsidRPr="00073DB7">
        <w:rPr>
          <w:rFonts w:ascii="Calibri" w:hAnsi="Calibri" w:cs="Calibri"/>
          <w:i/>
          <w:iCs/>
        </w:rPr>
        <w:t>et al.</w:t>
      </w:r>
      <w:r w:rsidRPr="00073DB7">
        <w:rPr>
          <w:rFonts w:ascii="Calibri" w:hAnsi="Calibri" w:cs="Calibri"/>
        </w:rPr>
        <w:t xml:space="preserve"> Why do tendon researchers overlook the patient’s psychological state? The review with no papers. </w:t>
      </w:r>
      <w:r w:rsidRPr="00073DB7">
        <w:rPr>
          <w:rFonts w:ascii="Calibri" w:hAnsi="Calibri" w:cs="Calibri"/>
          <w:i/>
          <w:iCs/>
        </w:rPr>
        <w:t>Br J Sports Med</w:t>
      </w:r>
      <w:r w:rsidRPr="00073DB7">
        <w:rPr>
          <w:rFonts w:ascii="Calibri" w:hAnsi="Calibri" w:cs="Calibri"/>
        </w:rPr>
        <w:t xml:space="preserve"> 2021;</w:t>
      </w:r>
      <w:r w:rsidRPr="00073DB7">
        <w:rPr>
          <w:rFonts w:ascii="Calibri" w:hAnsi="Calibri" w:cs="Calibri"/>
          <w:b/>
          <w:bCs/>
        </w:rPr>
        <w:t>55</w:t>
      </w:r>
      <w:r w:rsidRPr="00073DB7">
        <w:rPr>
          <w:rFonts w:ascii="Calibri" w:hAnsi="Calibri" w:cs="Calibri"/>
        </w:rPr>
        <w:t>:244–5. doi:10.1136/bjsports-2020-102359</w:t>
      </w:r>
    </w:p>
    <w:p w14:paraId="6B0C19C9"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34 </w:t>
      </w:r>
      <w:r w:rsidRPr="00073DB7">
        <w:rPr>
          <w:rFonts w:ascii="Calibri" w:hAnsi="Calibri" w:cs="Calibri"/>
        </w:rPr>
        <w:tab/>
        <w:t xml:space="preserve">O’Sullivan PB, Caneiro JP, O’Keeffe M, </w:t>
      </w:r>
      <w:r w:rsidRPr="00073DB7">
        <w:rPr>
          <w:rFonts w:ascii="Calibri" w:hAnsi="Calibri" w:cs="Calibri"/>
          <w:i/>
          <w:iCs/>
        </w:rPr>
        <w:t>et al.</w:t>
      </w:r>
      <w:r w:rsidRPr="00073DB7">
        <w:rPr>
          <w:rFonts w:ascii="Calibri" w:hAnsi="Calibri" w:cs="Calibri"/>
        </w:rPr>
        <w:t xml:space="preserve"> Cognitive Functional Therapy: An Integrated Behavioral Approach for the Targeted Management of Disabling Low Back Pain. </w:t>
      </w:r>
      <w:r w:rsidRPr="00073DB7">
        <w:rPr>
          <w:rFonts w:ascii="Calibri" w:hAnsi="Calibri" w:cs="Calibri"/>
          <w:i/>
          <w:iCs/>
        </w:rPr>
        <w:t>Physical Therapy</w:t>
      </w:r>
      <w:r w:rsidRPr="00073DB7">
        <w:rPr>
          <w:rFonts w:ascii="Calibri" w:hAnsi="Calibri" w:cs="Calibri"/>
        </w:rPr>
        <w:t xml:space="preserve"> 2018;</w:t>
      </w:r>
      <w:r w:rsidRPr="00073DB7">
        <w:rPr>
          <w:rFonts w:ascii="Calibri" w:hAnsi="Calibri" w:cs="Calibri"/>
          <w:b/>
          <w:bCs/>
        </w:rPr>
        <w:t>98</w:t>
      </w:r>
      <w:r w:rsidRPr="00073DB7">
        <w:rPr>
          <w:rFonts w:ascii="Calibri" w:hAnsi="Calibri" w:cs="Calibri"/>
        </w:rPr>
        <w:t>:408–23. doi:10.1093/ptj/pzy022</w:t>
      </w:r>
    </w:p>
    <w:p w14:paraId="4A4612F4"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35 </w:t>
      </w:r>
      <w:r w:rsidRPr="00073DB7">
        <w:rPr>
          <w:rFonts w:ascii="Calibri" w:hAnsi="Calibri" w:cs="Calibri"/>
        </w:rPr>
        <w:tab/>
        <w:t xml:space="preserve">Burne G, Mansfield M, Gaida JE, </w:t>
      </w:r>
      <w:r w:rsidRPr="00073DB7">
        <w:rPr>
          <w:rFonts w:ascii="Calibri" w:hAnsi="Calibri" w:cs="Calibri"/>
          <w:i/>
          <w:iCs/>
        </w:rPr>
        <w:t>et al.</w:t>
      </w:r>
      <w:r w:rsidRPr="00073DB7">
        <w:rPr>
          <w:rFonts w:ascii="Calibri" w:hAnsi="Calibri" w:cs="Calibri"/>
        </w:rPr>
        <w:t xml:space="preserve"> Is there an association between metabolic syndrome and rotator cuff-related shoulder pain? A systematic review. </w:t>
      </w:r>
      <w:r w:rsidRPr="00073DB7">
        <w:rPr>
          <w:rFonts w:ascii="Calibri" w:hAnsi="Calibri" w:cs="Calibri"/>
          <w:i/>
          <w:iCs/>
        </w:rPr>
        <w:t>BMJ Open Sport Exerc Med</w:t>
      </w:r>
      <w:r w:rsidRPr="00073DB7">
        <w:rPr>
          <w:rFonts w:ascii="Calibri" w:hAnsi="Calibri" w:cs="Calibri"/>
        </w:rPr>
        <w:t xml:space="preserve"> 2019;</w:t>
      </w:r>
      <w:r w:rsidRPr="00073DB7">
        <w:rPr>
          <w:rFonts w:ascii="Calibri" w:hAnsi="Calibri" w:cs="Calibri"/>
          <w:b/>
          <w:bCs/>
        </w:rPr>
        <w:t>5</w:t>
      </w:r>
      <w:r w:rsidRPr="00073DB7">
        <w:rPr>
          <w:rFonts w:ascii="Calibri" w:hAnsi="Calibri" w:cs="Calibri"/>
        </w:rPr>
        <w:t>:e000544. doi:10.1136/bmjsem-2019-000544</w:t>
      </w:r>
    </w:p>
    <w:p w14:paraId="7D51F9DF"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36 </w:t>
      </w:r>
      <w:r w:rsidRPr="00073DB7">
        <w:rPr>
          <w:rFonts w:ascii="Calibri" w:hAnsi="Calibri" w:cs="Calibri"/>
        </w:rPr>
        <w:tab/>
        <w:t xml:space="preserve">Rio EK, Mc Auliffe S, Kuipers I, </w:t>
      </w:r>
      <w:r w:rsidRPr="00073DB7">
        <w:rPr>
          <w:rFonts w:ascii="Calibri" w:hAnsi="Calibri" w:cs="Calibri"/>
          <w:i/>
          <w:iCs/>
        </w:rPr>
        <w:t>et al.</w:t>
      </w:r>
      <w:r w:rsidRPr="00073DB7">
        <w:rPr>
          <w:rFonts w:ascii="Calibri" w:hAnsi="Calibri" w:cs="Calibri"/>
        </w:rPr>
        <w:t xml:space="preserve"> ICON PART-T 2019–International Scientific Tendinopathy Symposium Consensus: recommended standards for reporting participant characteristics in tendinopathy research (PART-T). </w:t>
      </w:r>
      <w:r w:rsidRPr="00073DB7">
        <w:rPr>
          <w:rFonts w:ascii="Calibri" w:hAnsi="Calibri" w:cs="Calibri"/>
          <w:i/>
          <w:iCs/>
        </w:rPr>
        <w:t>Br J Sports Med</w:t>
      </w:r>
      <w:r w:rsidRPr="00073DB7">
        <w:rPr>
          <w:rFonts w:ascii="Calibri" w:hAnsi="Calibri" w:cs="Calibri"/>
        </w:rPr>
        <w:t xml:space="preserve"> 2020;</w:t>
      </w:r>
      <w:r w:rsidRPr="00073DB7">
        <w:rPr>
          <w:rFonts w:ascii="Calibri" w:hAnsi="Calibri" w:cs="Calibri"/>
          <w:b/>
          <w:bCs/>
        </w:rPr>
        <w:t>54</w:t>
      </w:r>
      <w:r w:rsidRPr="00073DB7">
        <w:rPr>
          <w:rFonts w:ascii="Calibri" w:hAnsi="Calibri" w:cs="Calibri"/>
        </w:rPr>
        <w:t>:627–30. doi:10.1136/bjsports-2019-100957</w:t>
      </w:r>
    </w:p>
    <w:p w14:paraId="4CEBDB0B" w14:textId="77777777" w:rsidR="00073DB7" w:rsidRPr="00073DB7" w:rsidRDefault="00073DB7" w:rsidP="00073DB7">
      <w:pPr>
        <w:pStyle w:val="Bibliography"/>
        <w:ind w:left="567" w:hanging="567"/>
        <w:rPr>
          <w:rFonts w:ascii="Calibri" w:hAnsi="Calibri" w:cs="Calibri"/>
        </w:rPr>
      </w:pPr>
      <w:r w:rsidRPr="00073DB7">
        <w:rPr>
          <w:rFonts w:ascii="Calibri" w:hAnsi="Calibri" w:cs="Calibri"/>
        </w:rPr>
        <w:t xml:space="preserve">37 </w:t>
      </w:r>
      <w:r w:rsidRPr="00073DB7">
        <w:rPr>
          <w:rFonts w:ascii="Calibri" w:hAnsi="Calibri" w:cs="Calibri"/>
        </w:rPr>
        <w:tab/>
        <w:t xml:space="preserve">Moher D, Liberati A, Tetzlaff J, </w:t>
      </w:r>
      <w:r w:rsidRPr="00073DB7">
        <w:rPr>
          <w:rFonts w:ascii="Calibri" w:hAnsi="Calibri" w:cs="Calibri"/>
          <w:i/>
          <w:iCs/>
        </w:rPr>
        <w:t>et al.</w:t>
      </w:r>
      <w:r w:rsidRPr="00073DB7">
        <w:rPr>
          <w:rFonts w:ascii="Calibri" w:hAnsi="Calibri" w:cs="Calibri"/>
        </w:rPr>
        <w:t xml:space="preserve"> Preferred Reporting Items for Systematic Reviews and Meta-Analyses: The PRISMA Statement. </w:t>
      </w:r>
      <w:r w:rsidRPr="00073DB7">
        <w:rPr>
          <w:rFonts w:ascii="Calibri" w:hAnsi="Calibri" w:cs="Calibri"/>
          <w:i/>
          <w:iCs/>
        </w:rPr>
        <w:t>PLoS Med</w:t>
      </w:r>
      <w:r w:rsidRPr="00073DB7">
        <w:rPr>
          <w:rFonts w:ascii="Calibri" w:hAnsi="Calibri" w:cs="Calibri"/>
        </w:rPr>
        <w:t xml:space="preserve"> 2009;</w:t>
      </w:r>
      <w:r w:rsidRPr="00073DB7">
        <w:rPr>
          <w:rFonts w:ascii="Calibri" w:hAnsi="Calibri" w:cs="Calibri"/>
          <w:b/>
          <w:bCs/>
        </w:rPr>
        <w:t>6</w:t>
      </w:r>
      <w:r w:rsidRPr="00073DB7">
        <w:rPr>
          <w:rFonts w:ascii="Calibri" w:hAnsi="Calibri" w:cs="Calibri"/>
        </w:rPr>
        <w:t>:e1000097. doi:10.1371/journal.pmed.1000097</w:t>
      </w:r>
    </w:p>
    <w:p w14:paraId="065382FF" w14:textId="7843CA76" w:rsidR="000538EA" w:rsidRDefault="00677523" w:rsidP="00073DB7">
      <w:pPr>
        <w:spacing w:line="360" w:lineRule="auto"/>
        <w:ind w:left="567" w:hanging="567"/>
        <w:rPr>
          <w:b/>
        </w:rPr>
      </w:pPr>
      <w:r>
        <w:fldChar w:fldCharType="end"/>
      </w:r>
    </w:p>
    <w:sectPr w:rsidR="000538EA" w:rsidSect="00A552D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CB168D" w14:textId="77777777" w:rsidR="009E7956" w:rsidRDefault="009E7956" w:rsidP="0002710C">
      <w:pPr>
        <w:spacing w:after="0" w:line="240" w:lineRule="auto"/>
      </w:pPr>
      <w:r>
        <w:separator/>
      </w:r>
    </w:p>
  </w:endnote>
  <w:endnote w:type="continuationSeparator" w:id="0">
    <w:p w14:paraId="4E6F748F" w14:textId="77777777" w:rsidR="009E7956" w:rsidRDefault="009E7956" w:rsidP="00027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1969663"/>
      <w:docPartObj>
        <w:docPartGallery w:val="Page Numbers (Bottom of Page)"/>
        <w:docPartUnique/>
      </w:docPartObj>
    </w:sdtPr>
    <w:sdtEndPr>
      <w:rPr>
        <w:noProof/>
      </w:rPr>
    </w:sdtEndPr>
    <w:sdtContent>
      <w:p w14:paraId="5343165C" w14:textId="49910EBA" w:rsidR="004D3B58" w:rsidRDefault="004D3B58">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0F74AF">
          <w:rPr>
            <w:noProof/>
          </w:rPr>
          <w:t>1</w:t>
        </w:r>
        <w:r>
          <w:rPr>
            <w:noProof/>
            <w:color w:val="2B579A"/>
            <w:shd w:val="clear" w:color="auto" w:fill="E6E6E6"/>
          </w:rPr>
          <w:fldChar w:fldCharType="end"/>
        </w:r>
      </w:p>
    </w:sdtContent>
  </w:sdt>
  <w:p w14:paraId="653D7ACA" w14:textId="77777777" w:rsidR="004D3B58" w:rsidRDefault="004D3B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537F84" w14:textId="77777777" w:rsidR="009E7956" w:rsidRDefault="009E7956" w:rsidP="0002710C">
      <w:pPr>
        <w:spacing w:after="0" w:line="240" w:lineRule="auto"/>
      </w:pPr>
      <w:r>
        <w:separator/>
      </w:r>
    </w:p>
  </w:footnote>
  <w:footnote w:type="continuationSeparator" w:id="0">
    <w:p w14:paraId="7F127EDD" w14:textId="77777777" w:rsidR="009E7956" w:rsidRDefault="009E7956" w:rsidP="0002710C">
      <w:pPr>
        <w:spacing w:after="0" w:line="240" w:lineRule="auto"/>
      </w:pPr>
      <w:r>
        <w:continuationSeparator/>
      </w:r>
    </w:p>
  </w:footnote>
</w:footnotes>
</file>

<file path=word/intelligence.xml><?xml version="1.0" encoding="utf-8"?>
<int:Intelligence xmlns:int="http://schemas.microsoft.com/office/intelligence/2019/intelligence">
  <int:IntelligenceSettings/>
  <int:Manifest>
    <int:WordHash hashCode="vSkNleR5BijZSd" id="3Sht7Bzu"/>
    <int:WordHash hashCode="r7nCZdbfcquQqH" id="3bBvbofD"/>
    <int:WordHash hashCode="/d0tyn6ON94G05" id="8lAIa38W"/>
    <int:WordHash hashCode="Ix5laEFYUBwjNs" id="vNO2hMbF"/>
    <int:WordHash hashCode="AWVog1PKgQcf3s" id="i1LkWw77"/>
  </int:Manifest>
  <int:Observations>
    <int:Content id="3Sht7Bzu">
      <int:Rejection type="AugLoop_Text_Critique"/>
    </int:Content>
    <int:Content id="3bBvbofD">
      <int:Rejection type="AugLoop_Text_Critique"/>
    </int:Content>
    <int:Content id="8lAIa38W">
      <int:Rejection type="AugLoop_Text_Critique"/>
    </int:Content>
    <int:Content id="vNO2hMbF">
      <int:Rejection type="AugLoop_Text_Critique"/>
    </int:Content>
    <int:Content id="i1LkWw77">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F1900"/>
    <w:multiLevelType w:val="hybridMultilevel"/>
    <w:tmpl w:val="A176D4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8E2713"/>
    <w:multiLevelType w:val="hybridMultilevel"/>
    <w:tmpl w:val="9444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2A77F0"/>
    <w:multiLevelType w:val="hybridMultilevel"/>
    <w:tmpl w:val="10F6FCAC"/>
    <w:lvl w:ilvl="0" w:tplc="10E68ABE">
      <w:start w:val="1"/>
      <w:numFmt w:val="decimal"/>
      <w:pStyle w:val="Heading1"/>
      <w:lvlText w:val="%1.0"/>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680DBD"/>
    <w:multiLevelType w:val="hybridMultilevel"/>
    <w:tmpl w:val="95729D5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94181"/>
    <w:multiLevelType w:val="hybridMultilevel"/>
    <w:tmpl w:val="49080F34"/>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587FAB"/>
    <w:multiLevelType w:val="hybridMultilevel"/>
    <w:tmpl w:val="4D9E14C8"/>
    <w:lvl w:ilvl="0" w:tplc="C6FEAEB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6B69A4"/>
    <w:multiLevelType w:val="hybridMultilevel"/>
    <w:tmpl w:val="698230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0E7D4C"/>
    <w:multiLevelType w:val="hybridMultilevel"/>
    <w:tmpl w:val="3502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88490A"/>
    <w:multiLevelType w:val="hybridMultilevel"/>
    <w:tmpl w:val="83F011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4D83605D"/>
    <w:multiLevelType w:val="hybridMultilevel"/>
    <w:tmpl w:val="5B925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271CA9"/>
    <w:multiLevelType w:val="hybridMultilevel"/>
    <w:tmpl w:val="92B24710"/>
    <w:lvl w:ilvl="0" w:tplc="C17E9668">
      <w:start w:val="1"/>
      <w:numFmt w:val="bullet"/>
      <w:lvlText w:val=""/>
      <w:lvlJc w:val="left"/>
      <w:pPr>
        <w:ind w:left="720" w:hanging="360"/>
      </w:pPr>
      <w:rPr>
        <w:rFonts w:ascii="Symbol" w:hAnsi="Symbol" w:hint="default"/>
      </w:rPr>
    </w:lvl>
    <w:lvl w:ilvl="1" w:tplc="783AB84E">
      <w:start w:val="1"/>
      <w:numFmt w:val="bullet"/>
      <w:lvlText w:val="o"/>
      <w:lvlJc w:val="left"/>
      <w:pPr>
        <w:ind w:left="1440" w:hanging="360"/>
      </w:pPr>
      <w:rPr>
        <w:rFonts w:ascii="Courier New" w:hAnsi="Courier New" w:hint="default"/>
      </w:rPr>
    </w:lvl>
    <w:lvl w:ilvl="2" w:tplc="FF84FCBA">
      <w:start w:val="1"/>
      <w:numFmt w:val="bullet"/>
      <w:lvlText w:val=""/>
      <w:lvlJc w:val="left"/>
      <w:pPr>
        <w:ind w:left="2160" w:hanging="360"/>
      </w:pPr>
      <w:rPr>
        <w:rFonts w:ascii="Wingdings" w:hAnsi="Wingdings" w:hint="default"/>
      </w:rPr>
    </w:lvl>
    <w:lvl w:ilvl="3" w:tplc="32402024">
      <w:start w:val="1"/>
      <w:numFmt w:val="bullet"/>
      <w:lvlText w:val=""/>
      <w:lvlJc w:val="left"/>
      <w:pPr>
        <w:ind w:left="2880" w:hanging="360"/>
      </w:pPr>
      <w:rPr>
        <w:rFonts w:ascii="Symbol" w:hAnsi="Symbol" w:hint="default"/>
      </w:rPr>
    </w:lvl>
    <w:lvl w:ilvl="4" w:tplc="823C9B60">
      <w:start w:val="1"/>
      <w:numFmt w:val="bullet"/>
      <w:lvlText w:val="o"/>
      <w:lvlJc w:val="left"/>
      <w:pPr>
        <w:ind w:left="3600" w:hanging="360"/>
      </w:pPr>
      <w:rPr>
        <w:rFonts w:ascii="Courier New" w:hAnsi="Courier New" w:hint="default"/>
      </w:rPr>
    </w:lvl>
    <w:lvl w:ilvl="5" w:tplc="4ABC9A82">
      <w:start w:val="1"/>
      <w:numFmt w:val="bullet"/>
      <w:lvlText w:val=""/>
      <w:lvlJc w:val="left"/>
      <w:pPr>
        <w:ind w:left="4320" w:hanging="360"/>
      </w:pPr>
      <w:rPr>
        <w:rFonts w:ascii="Wingdings" w:hAnsi="Wingdings" w:hint="default"/>
      </w:rPr>
    </w:lvl>
    <w:lvl w:ilvl="6" w:tplc="DC66B0DC">
      <w:start w:val="1"/>
      <w:numFmt w:val="bullet"/>
      <w:lvlText w:val=""/>
      <w:lvlJc w:val="left"/>
      <w:pPr>
        <w:ind w:left="5040" w:hanging="360"/>
      </w:pPr>
      <w:rPr>
        <w:rFonts w:ascii="Symbol" w:hAnsi="Symbol" w:hint="default"/>
      </w:rPr>
    </w:lvl>
    <w:lvl w:ilvl="7" w:tplc="59663000">
      <w:start w:val="1"/>
      <w:numFmt w:val="bullet"/>
      <w:lvlText w:val="o"/>
      <w:lvlJc w:val="left"/>
      <w:pPr>
        <w:ind w:left="5760" w:hanging="360"/>
      </w:pPr>
      <w:rPr>
        <w:rFonts w:ascii="Courier New" w:hAnsi="Courier New" w:hint="default"/>
      </w:rPr>
    </w:lvl>
    <w:lvl w:ilvl="8" w:tplc="DE48ED10">
      <w:start w:val="1"/>
      <w:numFmt w:val="bullet"/>
      <w:lvlText w:val=""/>
      <w:lvlJc w:val="left"/>
      <w:pPr>
        <w:ind w:left="6480" w:hanging="360"/>
      </w:pPr>
      <w:rPr>
        <w:rFonts w:ascii="Wingdings" w:hAnsi="Wingdings" w:hint="default"/>
      </w:rPr>
    </w:lvl>
  </w:abstractNum>
  <w:abstractNum w:abstractNumId="11" w15:restartNumberingAfterBreak="0">
    <w:nsid w:val="5A7A534D"/>
    <w:multiLevelType w:val="multilevel"/>
    <w:tmpl w:val="0D8E601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61F23E19"/>
    <w:multiLevelType w:val="hybridMultilevel"/>
    <w:tmpl w:val="D5C2176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6884DFF"/>
    <w:multiLevelType w:val="hybridMultilevel"/>
    <w:tmpl w:val="EE6C3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862D55"/>
    <w:multiLevelType w:val="hybridMultilevel"/>
    <w:tmpl w:val="8F566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4"/>
  </w:num>
  <w:num w:numId="4">
    <w:abstractNumId w:val="13"/>
  </w:num>
  <w:num w:numId="5">
    <w:abstractNumId w:val="7"/>
  </w:num>
  <w:num w:numId="6">
    <w:abstractNumId w:val="1"/>
  </w:num>
  <w:num w:numId="7">
    <w:abstractNumId w:val="3"/>
  </w:num>
  <w:num w:numId="8">
    <w:abstractNumId w:val="4"/>
  </w:num>
  <w:num w:numId="9">
    <w:abstractNumId w:val="6"/>
  </w:num>
  <w:num w:numId="10">
    <w:abstractNumId w:val="12"/>
  </w:num>
  <w:num w:numId="11">
    <w:abstractNumId w:val="5"/>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zMDAxNDa2MDAytjRW0lEKTi0uzszPAykwrAUAuNKWLywAAAA="/>
  </w:docVars>
  <w:rsids>
    <w:rsidRoot w:val="00910966"/>
    <w:rsid w:val="00000D76"/>
    <w:rsid w:val="0001109B"/>
    <w:rsid w:val="00012B4C"/>
    <w:rsid w:val="0001333F"/>
    <w:rsid w:val="00014F4A"/>
    <w:rsid w:val="00022764"/>
    <w:rsid w:val="00024BF5"/>
    <w:rsid w:val="0002710C"/>
    <w:rsid w:val="000341BC"/>
    <w:rsid w:val="000350E1"/>
    <w:rsid w:val="00035D50"/>
    <w:rsid w:val="000362A5"/>
    <w:rsid w:val="00042533"/>
    <w:rsid w:val="00044C33"/>
    <w:rsid w:val="000526C1"/>
    <w:rsid w:val="000538EA"/>
    <w:rsid w:val="00056209"/>
    <w:rsid w:val="000600E9"/>
    <w:rsid w:val="000605E9"/>
    <w:rsid w:val="00064A90"/>
    <w:rsid w:val="00064E01"/>
    <w:rsid w:val="00066629"/>
    <w:rsid w:val="000704C7"/>
    <w:rsid w:val="00070FF6"/>
    <w:rsid w:val="0007170C"/>
    <w:rsid w:val="000730F7"/>
    <w:rsid w:val="00073DB7"/>
    <w:rsid w:val="00077662"/>
    <w:rsid w:val="00090BE3"/>
    <w:rsid w:val="00091536"/>
    <w:rsid w:val="00091CB4"/>
    <w:rsid w:val="00093BB6"/>
    <w:rsid w:val="0009490A"/>
    <w:rsid w:val="00096176"/>
    <w:rsid w:val="00097A93"/>
    <w:rsid w:val="00097FF3"/>
    <w:rsid w:val="000A1210"/>
    <w:rsid w:val="000A1657"/>
    <w:rsid w:val="000A3191"/>
    <w:rsid w:val="000A57DA"/>
    <w:rsid w:val="000A6A3F"/>
    <w:rsid w:val="000B2BE4"/>
    <w:rsid w:val="000B5263"/>
    <w:rsid w:val="000C0CC4"/>
    <w:rsid w:val="000C1BD9"/>
    <w:rsid w:val="000D05CB"/>
    <w:rsid w:val="000D3B07"/>
    <w:rsid w:val="000D4572"/>
    <w:rsid w:val="000D4992"/>
    <w:rsid w:val="000D73A3"/>
    <w:rsid w:val="000E10F8"/>
    <w:rsid w:val="000E3CB8"/>
    <w:rsid w:val="000E6A1E"/>
    <w:rsid w:val="000E79EE"/>
    <w:rsid w:val="000F64C3"/>
    <w:rsid w:val="000F74AF"/>
    <w:rsid w:val="001040CA"/>
    <w:rsid w:val="0010432B"/>
    <w:rsid w:val="00107E98"/>
    <w:rsid w:val="00111367"/>
    <w:rsid w:val="0011344A"/>
    <w:rsid w:val="001157A9"/>
    <w:rsid w:val="00115B98"/>
    <w:rsid w:val="001241E6"/>
    <w:rsid w:val="00125235"/>
    <w:rsid w:val="00130375"/>
    <w:rsid w:val="00132D22"/>
    <w:rsid w:val="00135D48"/>
    <w:rsid w:val="00135F33"/>
    <w:rsid w:val="0013773B"/>
    <w:rsid w:val="00140DC8"/>
    <w:rsid w:val="001410DA"/>
    <w:rsid w:val="00141AB6"/>
    <w:rsid w:val="00143256"/>
    <w:rsid w:val="00151626"/>
    <w:rsid w:val="00157F6E"/>
    <w:rsid w:val="00162820"/>
    <w:rsid w:val="00164615"/>
    <w:rsid w:val="00166F19"/>
    <w:rsid w:val="00170279"/>
    <w:rsid w:val="0017139E"/>
    <w:rsid w:val="00173581"/>
    <w:rsid w:val="0017748D"/>
    <w:rsid w:val="0017755A"/>
    <w:rsid w:val="00181674"/>
    <w:rsid w:val="00182349"/>
    <w:rsid w:val="00185385"/>
    <w:rsid w:val="001857BD"/>
    <w:rsid w:val="001859CB"/>
    <w:rsid w:val="0019068E"/>
    <w:rsid w:val="00192502"/>
    <w:rsid w:val="00192B52"/>
    <w:rsid w:val="00193FA7"/>
    <w:rsid w:val="00194B47"/>
    <w:rsid w:val="00194F5C"/>
    <w:rsid w:val="00197840"/>
    <w:rsid w:val="00197864"/>
    <w:rsid w:val="001A09F8"/>
    <w:rsid w:val="001A19C7"/>
    <w:rsid w:val="001A2417"/>
    <w:rsid w:val="001A6353"/>
    <w:rsid w:val="001A638D"/>
    <w:rsid w:val="001A679A"/>
    <w:rsid w:val="001B5C57"/>
    <w:rsid w:val="001B5CEE"/>
    <w:rsid w:val="001C066D"/>
    <w:rsid w:val="001C5A84"/>
    <w:rsid w:val="001C794F"/>
    <w:rsid w:val="001D0537"/>
    <w:rsid w:val="001D0856"/>
    <w:rsid w:val="001D48CF"/>
    <w:rsid w:val="001E275A"/>
    <w:rsid w:val="001E5493"/>
    <w:rsid w:val="001E68D9"/>
    <w:rsid w:val="001F0FAC"/>
    <w:rsid w:val="001F17D9"/>
    <w:rsid w:val="001F1D41"/>
    <w:rsid w:val="001F2BF2"/>
    <w:rsid w:val="001F3048"/>
    <w:rsid w:val="001F30F0"/>
    <w:rsid w:val="001F4386"/>
    <w:rsid w:val="001F4C5F"/>
    <w:rsid w:val="001F5965"/>
    <w:rsid w:val="001F5AFF"/>
    <w:rsid w:val="001F5FBD"/>
    <w:rsid w:val="001F6AF0"/>
    <w:rsid w:val="00200110"/>
    <w:rsid w:val="002019CF"/>
    <w:rsid w:val="002028E2"/>
    <w:rsid w:val="00207DB9"/>
    <w:rsid w:val="00211349"/>
    <w:rsid w:val="002115BC"/>
    <w:rsid w:val="0021273A"/>
    <w:rsid w:val="00212CB9"/>
    <w:rsid w:val="002136E2"/>
    <w:rsid w:val="002144AC"/>
    <w:rsid w:val="00214E00"/>
    <w:rsid w:val="0021649B"/>
    <w:rsid w:val="00217F30"/>
    <w:rsid w:val="00220856"/>
    <w:rsid w:val="0022182A"/>
    <w:rsid w:val="00222FDD"/>
    <w:rsid w:val="00224784"/>
    <w:rsid w:val="0023046F"/>
    <w:rsid w:val="00231F64"/>
    <w:rsid w:val="002327B4"/>
    <w:rsid w:val="00232BB4"/>
    <w:rsid w:val="0023399A"/>
    <w:rsid w:val="0023488D"/>
    <w:rsid w:val="002358E1"/>
    <w:rsid w:val="00240241"/>
    <w:rsid w:val="00241173"/>
    <w:rsid w:val="00244579"/>
    <w:rsid w:val="00245047"/>
    <w:rsid w:val="002456CF"/>
    <w:rsid w:val="00245DD2"/>
    <w:rsid w:val="0024692A"/>
    <w:rsid w:val="002502D3"/>
    <w:rsid w:val="00253AF7"/>
    <w:rsid w:val="00260536"/>
    <w:rsid w:val="002610F6"/>
    <w:rsid w:val="00262D61"/>
    <w:rsid w:val="00263631"/>
    <w:rsid w:val="002654FC"/>
    <w:rsid w:val="00266116"/>
    <w:rsid w:val="00266A26"/>
    <w:rsid w:val="002678E4"/>
    <w:rsid w:val="0027019A"/>
    <w:rsid w:val="002719E1"/>
    <w:rsid w:val="002726E7"/>
    <w:rsid w:val="00273633"/>
    <w:rsid w:val="00273A8F"/>
    <w:rsid w:val="00273F6A"/>
    <w:rsid w:val="0027765F"/>
    <w:rsid w:val="002800AB"/>
    <w:rsid w:val="00282083"/>
    <w:rsid w:val="00282A30"/>
    <w:rsid w:val="00287BD3"/>
    <w:rsid w:val="00290977"/>
    <w:rsid w:val="002961CE"/>
    <w:rsid w:val="0029648F"/>
    <w:rsid w:val="002A0F69"/>
    <w:rsid w:val="002A3A87"/>
    <w:rsid w:val="002A4435"/>
    <w:rsid w:val="002A58DE"/>
    <w:rsid w:val="002A643E"/>
    <w:rsid w:val="002A6D36"/>
    <w:rsid w:val="002B505A"/>
    <w:rsid w:val="002C1E7A"/>
    <w:rsid w:val="002C3235"/>
    <w:rsid w:val="002C35AF"/>
    <w:rsid w:val="002C3BEE"/>
    <w:rsid w:val="002C5C62"/>
    <w:rsid w:val="002C6072"/>
    <w:rsid w:val="002C617D"/>
    <w:rsid w:val="002D033E"/>
    <w:rsid w:val="002D1B26"/>
    <w:rsid w:val="002D3A0A"/>
    <w:rsid w:val="002D5A40"/>
    <w:rsid w:val="002D5B1E"/>
    <w:rsid w:val="002D732C"/>
    <w:rsid w:val="002E2164"/>
    <w:rsid w:val="002E4859"/>
    <w:rsid w:val="002E4AFE"/>
    <w:rsid w:val="002E5A6D"/>
    <w:rsid w:val="002E74C1"/>
    <w:rsid w:val="002F3F40"/>
    <w:rsid w:val="002F4FAE"/>
    <w:rsid w:val="00300461"/>
    <w:rsid w:val="003041B7"/>
    <w:rsid w:val="003059FF"/>
    <w:rsid w:val="00307E7E"/>
    <w:rsid w:val="0031079D"/>
    <w:rsid w:val="00312028"/>
    <w:rsid w:val="00314C04"/>
    <w:rsid w:val="00314D04"/>
    <w:rsid w:val="003175F9"/>
    <w:rsid w:val="00320089"/>
    <w:rsid w:val="003249AB"/>
    <w:rsid w:val="00331F65"/>
    <w:rsid w:val="00332442"/>
    <w:rsid w:val="00333B1A"/>
    <w:rsid w:val="00336A92"/>
    <w:rsid w:val="00341656"/>
    <w:rsid w:val="00341A23"/>
    <w:rsid w:val="003423D2"/>
    <w:rsid w:val="003429B3"/>
    <w:rsid w:val="00345B23"/>
    <w:rsid w:val="00346ED5"/>
    <w:rsid w:val="00347167"/>
    <w:rsid w:val="00351DB1"/>
    <w:rsid w:val="00355282"/>
    <w:rsid w:val="00355B1F"/>
    <w:rsid w:val="0036059C"/>
    <w:rsid w:val="003606F8"/>
    <w:rsid w:val="00360F34"/>
    <w:rsid w:val="00361A39"/>
    <w:rsid w:val="00363829"/>
    <w:rsid w:val="00363DBD"/>
    <w:rsid w:val="00365AD8"/>
    <w:rsid w:val="0036771E"/>
    <w:rsid w:val="00372986"/>
    <w:rsid w:val="00373541"/>
    <w:rsid w:val="00375A83"/>
    <w:rsid w:val="00375C1F"/>
    <w:rsid w:val="00377167"/>
    <w:rsid w:val="003806B0"/>
    <w:rsid w:val="003813C2"/>
    <w:rsid w:val="00381C87"/>
    <w:rsid w:val="0038201F"/>
    <w:rsid w:val="0038364B"/>
    <w:rsid w:val="00385C83"/>
    <w:rsid w:val="00393DFE"/>
    <w:rsid w:val="003A05B6"/>
    <w:rsid w:val="003A37BA"/>
    <w:rsid w:val="003A486A"/>
    <w:rsid w:val="003A58C3"/>
    <w:rsid w:val="003B06A4"/>
    <w:rsid w:val="003B26C4"/>
    <w:rsid w:val="003B3110"/>
    <w:rsid w:val="003B3C3C"/>
    <w:rsid w:val="003C270B"/>
    <w:rsid w:val="003C37BD"/>
    <w:rsid w:val="003C3DAF"/>
    <w:rsid w:val="003C5304"/>
    <w:rsid w:val="003C5E9F"/>
    <w:rsid w:val="003D1F7F"/>
    <w:rsid w:val="003D47E0"/>
    <w:rsid w:val="003D7B45"/>
    <w:rsid w:val="003E248D"/>
    <w:rsid w:val="003E7716"/>
    <w:rsid w:val="003F4911"/>
    <w:rsid w:val="003F5150"/>
    <w:rsid w:val="003F5768"/>
    <w:rsid w:val="003F62A3"/>
    <w:rsid w:val="0040195A"/>
    <w:rsid w:val="004036B0"/>
    <w:rsid w:val="00403BC7"/>
    <w:rsid w:val="004077F7"/>
    <w:rsid w:val="0041152A"/>
    <w:rsid w:val="0041331A"/>
    <w:rsid w:val="0041554A"/>
    <w:rsid w:val="004166FD"/>
    <w:rsid w:val="0041746A"/>
    <w:rsid w:val="00421929"/>
    <w:rsid w:val="00422B9F"/>
    <w:rsid w:val="00430DF2"/>
    <w:rsid w:val="00431890"/>
    <w:rsid w:val="004333DF"/>
    <w:rsid w:val="004334E4"/>
    <w:rsid w:val="0043570A"/>
    <w:rsid w:val="00440973"/>
    <w:rsid w:val="004409FB"/>
    <w:rsid w:val="00441C70"/>
    <w:rsid w:val="00443DF4"/>
    <w:rsid w:val="00444B03"/>
    <w:rsid w:val="00446E12"/>
    <w:rsid w:val="00452362"/>
    <w:rsid w:val="004568C1"/>
    <w:rsid w:val="00456D98"/>
    <w:rsid w:val="00457789"/>
    <w:rsid w:val="00457DDE"/>
    <w:rsid w:val="00462855"/>
    <w:rsid w:val="00462863"/>
    <w:rsid w:val="00462D6E"/>
    <w:rsid w:val="00467DC2"/>
    <w:rsid w:val="00467FCA"/>
    <w:rsid w:val="00471212"/>
    <w:rsid w:val="00471863"/>
    <w:rsid w:val="00472C42"/>
    <w:rsid w:val="00474380"/>
    <w:rsid w:val="00474D7D"/>
    <w:rsid w:val="0047514A"/>
    <w:rsid w:val="00475AAD"/>
    <w:rsid w:val="004767F9"/>
    <w:rsid w:val="00480780"/>
    <w:rsid w:val="00481295"/>
    <w:rsid w:val="00481311"/>
    <w:rsid w:val="004817CD"/>
    <w:rsid w:val="00493739"/>
    <w:rsid w:val="00496924"/>
    <w:rsid w:val="00497EA3"/>
    <w:rsid w:val="0049D37F"/>
    <w:rsid w:val="004A03CB"/>
    <w:rsid w:val="004A6C89"/>
    <w:rsid w:val="004B0EC8"/>
    <w:rsid w:val="004B2377"/>
    <w:rsid w:val="004B3A75"/>
    <w:rsid w:val="004B3D50"/>
    <w:rsid w:val="004B3E25"/>
    <w:rsid w:val="004B489C"/>
    <w:rsid w:val="004B489D"/>
    <w:rsid w:val="004B610B"/>
    <w:rsid w:val="004B6F7C"/>
    <w:rsid w:val="004B7EFD"/>
    <w:rsid w:val="004C2214"/>
    <w:rsid w:val="004C50DE"/>
    <w:rsid w:val="004C7551"/>
    <w:rsid w:val="004D3B58"/>
    <w:rsid w:val="004D5C1B"/>
    <w:rsid w:val="004D5E6B"/>
    <w:rsid w:val="004D7B0B"/>
    <w:rsid w:val="004E0DBF"/>
    <w:rsid w:val="004E1673"/>
    <w:rsid w:val="004F2B13"/>
    <w:rsid w:val="004F5027"/>
    <w:rsid w:val="004F7FF7"/>
    <w:rsid w:val="00501BB9"/>
    <w:rsid w:val="00501C1C"/>
    <w:rsid w:val="00501F7E"/>
    <w:rsid w:val="005030F6"/>
    <w:rsid w:val="005031D8"/>
    <w:rsid w:val="005077BC"/>
    <w:rsid w:val="00511A43"/>
    <w:rsid w:val="0051531E"/>
    <w:rsid w:val="005178A8"/>
    <w:rsid w:val="00517A64"/>
    <w:rsid w:val="00517E3C"/>
    <w:rsid w:val="00521DC4"/>
    <w:rsid w:val="005239C8"/>
    <w:rsid w:val="00525B82"/>
    <w:rsid w:val="0052634C"/>
    <w:rsid w:val="00526D8A"/>
    <w:rsid w:val="00526F40"/>
    <w:rsid w:val="00530A0E"/>
    <w:rsid w:val="0053356A"/>
    <w:rsid w:val="00536DF4"/>
    <w:rsid w:val="00540EE0"/>
    <w:rsid w:val="00543927"/>
    <w:rsid w:val="0054450F"/>
    <w:rsid w:val="00544ABE"/>
    <w:rsid w:val="005506D3"/>
    <w:rsid w:val="005516A0"/>
    <w:rsid w:val="0055417A"/>
    <w:rsid w:val="00555762"/>
    <w:rsid w:val="00557290"/>
    <w:rsid w:val="00565F83"/>
    <w:rsid w:val="005670C9"/>
    <w:rsid w:val="00570536"/>
    <w:rsid w:val="0057128B"/>
    <w:rsid w:val="005774BF"/>
    <w:rsid w:val="005805EA"/>
    <w:rsid w:val="00580D63"/>
    <w:rsid w:val="0058336A"/>
    <w:rsid w:val="00584528"/>
    <w:rsid w:val="00585950"/>
    <w:rsid w:val="005867E4"/>
    <w:rsid w:val="0058690C"/>
    <w:rsid w:val="00592273"/>
    <w:rsid w:val="00593425"/>
    <w:rsid w:val="00594374"/>
    <w:rsid w:val="00597A30"/>
    <w:rsid w:val="005A0AE8"/>
    <w:rsid w:val="005A59C2"/>
    <w:rsid w:val="005B03F4"/>
    <w:rsid w:val="005B7CA8"/>
    <w:rsid w:val="005C02B2"/>
    <w:rsid w:val="005C0740"/>
    <w:rsid w:val="005C3E2F"/>
    <w:rsid w:val="005C567C"/>
    <w:rsid w:val="005C74CB"/>
    <w:rsid w:val="005D03BE"/>
    <w:rsid w:val="005D1FCD"/>
    <w:rsid w:val="005D3963"/>
    <w:rsid w:val="005E25C5"/>
    <w:rsid w:val="005E47FB"/>
    <w:rsid w:val="005E4EF7"/>
    <w:rsid w:val="005E62F7"/>
    <w:rsid w:val="005E6DE3"/>
    <w:rsid w:val="005E6F58"/>
    <w:rsid w:val="005F203F"/>
    <w:rsid w:val="005F5534"/>
    <w:rsid w:val="005F6A28"/>
    <w:rsid w:val="00602FA4"/>
    <w:rsid w:val="00606463"/>
    <w:rsid w:val="00607344"/>
    <w:rsid w:val="0061153D"/>
    <w:rsid w:val="00614ABD"/>
    <w:rsid w:val="0061598E"/>
    <w:rsid w:val="00617153"/>
    <w:rsid w:val="00617244"/>
    <w:rsid w:val="00617DED"/>
    <w:rsid w:val="0062008D"/>
    <w:rsid w:val="00626A65"/>
    <w:rsid w:val="00627A97"/>
    <w:rsid w:val="006342D6"/>
    <w:rsid w:val="00634D7D"/>
    <w:rsid w:val="0064098D"/>
    <w:rsid w:val="006424D4"/>
    <w:rsid w:val="00643FB5"/>
    <w:rsid w:val="00645FE0"/>
    <w:rsid w:val="00646903"/>
    <w:rsid w:val="0065177D"/>
    <w:rsid w:val="00653674"/>
    <w:rsid w:val="006551AE"/>
    <w:rsid w:val="006556DC"/>
    <w:rsid w:val="0066038E"/>
    <w:rsid w:val="00661C10"/>
    <w:rsid w:val="00662342"/>
    <w:rsid w:val="00664E10"/>
    <w:rsid w:val="00672FF2"/>
    <w:rsid w:val="006732D1"/>
    <w:rsid w:val="00677523"/>
    <w:rsid w:val="00680042"/>
    <w:rsid w:val="00683429"/>
    <w:rsid w:val="00683B3A"/>
    <w:rsid w:val="0068436F"/>
    <w:rsid w:val="006855C0"/>
    <w:rsid w:val="00685903"/>
    <w:rsid w:val="006864F3"/>
    <w:rsid w:val="006867EB"/>
    <w:rsid w:val="00686DDF"/>
    <w:rsid w:val="00691D45"/>
    <w:rsid w:val="00693454"/>
    <w:rsid w:val="00694E10"/>
    <w:rsid w:val="0069639A"/>
    <w:rsid w:val="006A0100"/>
    <w:rsid w:val="006A4799"/>
    <w:rsid w:val="006B017A"/>
    <w:rsid w:val="006B3ADD"/>
    <w:rsid w:val="006B5E06"/>
    <w:rsid w:val="006B7495"/>
    <w:rsid w:val="006B7586"/>
    <w:rsid w:val="006C0C15"/>
    <w:rsid w:val="006C3964"/>
    <w:rsid w:val="006D1B3C"/>
    <w:rsid w:val="006D379C"/>
    <w:rsid w:val="006D4734"/>
    <w:rsid w:val="006D6772"/>
    <w:rsid w:val="006D6DE6"/>
    <w:rsid w:val="006D71FC"/>
    <w:rsid w:val="006D7F1E"/>
    <w:rsid w:val="006E2EB7"/>
    <w:rsid w:val="006E3FAD"/>
    <w:rsid w:val="006E56D9"/>
    <w:rsid w:val="006E7513"/>
    <w:rsid w:val="006F1D57"/>
    <w:rsid w:val="006F6B3C"/>
    <w:rsid w:val="006F73DD"/>
    <w:rsid w:val="00702F59"/>
    <w:rsid w:val="00704E44"/>
    <w:rsid w:val="007050B6"/>
    <w:rsid w:val="0070590C"/>
    <w:rsid w:val="00707E59"/>
    <w:rsid w:val="00713399"/>
    <w:rsid w:val="00716669"/>
    <w:rsid w:val="007174BD"/>
    <w:rsid w:val="00717859"/>
    <w:rsid w:val="0072164F"/>
    <w:rsid w:val="0072218C"/>
    <w:rsid w:val="0072472F"/>
    <w:rsid w:val="00725803"/>
    <w:rsid w:val="007263D1"/>
    <w:rsid w:val="00726436"/>
    <w:rsid w:val="0072AC4E"/>
    <w:rsid w:val="007307D6"/>
    <w:rsid w:val="00730930"/>
    <w:rsid w:val="0073257F"/>
    <w:rsid w:val="007369E6"/>
    <w:rsid w:val="00736B83"/>
    <w:rsid w:val="00740189"/>
    <w:rsid w:val="00742AA4"/>
    <w:rsid w:val="00742C02"/>
    <w:rsid w:val="00742C65"/>
    <w:rsid w:val="00742C7D"/>
    <w:rsid w:val="00744025"/>
    <w:rsid w:val="0074429F"/>
    <w:rsid w:val="00744EAB"/>
    <w:rsid w:val="00744ED3"/>
    <w:rsid w:val="00745318"/>
    <w:rsid w:val="00746D4B"/>
    <w:rsid w:val="00746F3E"/>
    <w:rsid w:val="00747789"/>
    <w:rsid w:val="007478CE"/>
    <w:rsid w:val="00750D6A"/>
    <w:rsid w:val="00763325"/>
    <w:rsid w:val="00765551"/>
    <w:rsid w:val="00765B01"/>
    <w:rsid w:val="00770D57"/>
    <w:rsid w:val="00772480"/>
    <w:rsid w:val="007757B9"/>
    <w:rsid w:val="007773EE"/>
    <w:rsid w:val="00781657"/>
    <w:rsid w:val="00784E2B"/>
    <w:rsid w:val="00786582"/>
    <w:rsid w:val="00787E04"/>
    <w:rsid w:val="007929FA"/>
    <w:rsid w:val="0079532C"/>
    <w:rsid w:val="00797ED6"/>
    <w:rsid w:val="007A1E2D"/>
    <w:rsid w:val="007A34D3"/>
    <w:rsid w:val="007A5341"/>
    <w:rsid w:val="007A633E"/>
    <w:rsid w:val="007A636A"/>
    <w:rsid w:val="007A6A3E"/>
    <w:rsid w:val="007AC6FA"/>
    <w:rsid w:val="007B076A"/>
    <w:rsid w:val="007B7CF8"/>
    <w:rsid w:val="007C05B0"/>
    <w:rsid w:val="007C2630"/>
    <w:rsid w:val="007C3CCB"/>
    <w:rsid w:val="007C497D"/>
    <w:rsid w:val="007D1728"/>
    <w:rsid w:val="007D26A3"/>
    <w:rsid w:val="007D2A54"/>
    <w:rsid w:val="007D59EA"/>
    <w:rsid w:val="007D60EA"/>
    <w:rsid w:val="007D6E40"/>
    <w:rsid w:val="007E250E"/>
    <w:rsid w:val="007E30D0"/>
    <w:rsid w:val="007E3A45"/>
    <w:rsid w:val="007F007E"/>
    <w:rsid w:val="007F07A2"/>
    <w:rsid w:val="007F2277"/>
    <w:rsid w:val="007F2BB4"/>
    <w:rsid w:val="007F2DA5"/>
    <w:rsid w:val="007F2F47"/>
    <w:rsid w:val="00802377"/>
    <w:rsid w:val="00803238"/>
    <w:rsid w:val="00803F06"/>
    <w:rsid w:val="00805444"/>
    <w:rsid w:val="008057DE"/>
    <w:rsid w:val="00805893"/>
    <w:rsid w:val="00811B44"/>
    <w:rsid w:val="00816785"/>
    <w:rsid w:val="00816980"/>
    <w:rsid w:val="00820E24"/>
    <w:rsid w:val="00821332"/>
    <w:rsid w:val="008215A8"/>
    <w:rsid w:val="008222B5"/>
    <w:rsid w:val="00825AF2"/>
    <w:rsid w:val="008265DD"/>
    <w:rsid w:val="008319ED"/>
    <w:rsid w:val="008357C1"/>
    <w:rsid w:val="00835B63"/>
    <w:rsid w:val="00835C08"/>
    <w:rsid w:val="00835C26"/>
    <w:rsid w:val="00843CAC"/>
    <w:rsid w:val="0084462E"/>
    <w:rsid w:val="00845639"/>
    <w:rsid w:val="00850AA0"/>
    <w:rsid w:val="00853E15"/>
    <w:rsid w:val="00857BE0"/>
    <w:rsid w:val="00860417"/>
    <w:rsid w:val="008606D2"/>
    <w:rsid w:val="00860BF2"/>
    <w:rsid w:val="00863DFF"/>
    <w:rsid w:val="00864163"/>
    <w:rsid w:val="00864196"/>
    <w:rsid w:val="008643AB"/>
    <w:rsid w:val="00872697"/>
    <w:rsid w:val="00873D9D"/>
    <w:rsid w:val="00880F8A"/>
    <w:rsid w:val="00881ECC"/>
    <w:rsid w:val="00882B75"/>
    <w:rsid w:val="008850DE"/>
    <w:rsid w:val="008867FD"/>
    <w:rsid w:val="0088693F"/>
    <w:rsid w:val="00886F77"/>
    <w:rsid w:val="00887A67"/>
    <w:rsid w:val="00887C4F"/>
    <w:rsid w:val="00890415"/>
    <w:rsid w:val="008907FA"/>
    <w:rsid w:val="00890DAE"/>
    <w:rsid w:val="00894980"/>
    <w:rsid w:val="008A407D"/>
    <w:rsid w:val="008A7464"/>
    <w:rsid w:val="008A7ED7"/>
    <w:rsid w:val="008B05E3"/>
    <w:rsid w:val="008B12B0"/>
    <w:rsid w:val="008B2AC8"/>
    <w:rsid w:val="008B7BF9"/>
    <w:rsid w:val="008B7DBA"/>
    <w:rsid w:val="008C29F1"/>
    <w:rsid w:val="008C4AAC"/>
    <w:rsid w:val="008C5022"/>
    <w:rsid w:val="008C61A8"/>
    <w:rsid w:val="008C6B59"/>
    <w:rsid w:val="008C70B2"/>
    <w:rsid w:val="008D1DA8"/>
    <w:rsid w:val="008D3983"/>
    <w:rsid w:val="008D4020"/>
    <w:rsid w:val="008D4ECB"/>
    <w:rsid w:val="008D642A"/>
    <w:rsid w:val="008D6706"/>
    <w:rsid w:val="008E208D"/>
    <w:rsid w:val="008E255E"/>
    <w:rsid w:val="008E4E2B"/>
    <w:rsid w:val="008E622A"/>
    <w:rsid w:val="008E7C03"/>
    <w:rsid w:val="008F50D1"/>
    <w:rsid w:val="008F59CC"/>
    <w:rsid w:val="00903D55"/>
    <w:rsid w:val="0090671C"/>
    <w:rsid w:val="0091019A"/>
    <w:rsid w:val="00910966"/>
    <w:rsid w:val="00915C46"/>
    <w:rsid w:val="00916922"/>
    <w:rsid w:val="00920D87"/>
    <w:rsid w:val="00922A77"/>
    <w:rsid w:val="00926355"/>
    <w:rsid w:val="00930D02"/>
    <w:rsid w:val="00931C4F"/>
    <w:rsid w:val="00936428"/>
    <w:rsid w:val="00942C5D"/>
    <w:rsid w:val="00943409"/>
    <w:rsid w:val="00943EC5"/>
    <w:rsid w:val="009474FF"/>
    <w:rsid w:val="00952129"/>
    <w:rsid w:val="00952AD2"/>
    <w:rsid w:val="00955EE0"/>
    <w:rsid w:val="009573DF"/>
    <w:rsid w:val="00961B80"/>
    <w:rsid w:val="00962EC0"/>
    <w:rsid w:val="00965748"/>
    <w:rsid w:val="00967E86"/>
    <w:rsid w:val="00974CEE"/>
    <w:rsid w:val="00975265"/>
    <w:rsid w:val="00975D52"/>
    <w:rsid w:val="009760EB"/>
    <w:rsid w:val="00977309"/>
    <w:rsid w:val="009776E2"/>
    <w:rsid w:val="00977801"/>
    <w:rsid w:val="0098400A"/>
    <w:rsid w:val="00985992"/>
    <w:rsid w:val="00990178"/>
    <w:rsid w:val="00990D56"/>
    <w:rsid w:val="00991244"/>
    <w:rsid w:val="00995236"/>
    <w:rsid w:val="009A0185"/>
    <w:rsid w:val="009A373F"/>
    <w:rsid w:val="009A46E7"/>
    <w:rsid w:val="009A6265"/>
    <w:rsid w:val="009A7469"/>
    <w:rsid w:val="009A7A27"/>
    <w:rsid w:val="009B1F3E"/>
    <w:rsid w:val="009B4E68"/>
    <w:rsid w:val="009B79E8"/>
    <w:rsid w:val="009C286F"/>
    <w:rsid w:val="009C5915"/>
    <w:rsid w:val="009C7775"/>
    <w:rsid w:val="009D33D1"/>
    <w:rsid w:val="009D37BC"/>
    <w:rsid w:val="009D3EB3"/>
    <w:rsid w:val="009D45C4"/>
    <w:rsid w:val="009E1E2B"/>
    <w:rsid w:val="009E4614"/>
    <w:rsid w:val="009E7956"/>
    <w:rsid w:val="009F3723"/>
    <w:rsid w:val="009F3EAD"/>
    <w:rsid w:val="009F45A3"/>
    <w:rsid w:val="009F5701"/>
    <w:rsid w:val="009F6A6D"/>
    <w:rsid w:val="009F73C2"/>
    <w:rsid w:val="00A004BA"/>
    <w:rsid w:val="00A00D6C"/>
    <w:rsid w:val="00A0147B"/>
    <w:rsid w:val="00A021F6"/>
    <w:rsid w:val="00A03004"/>
    <w:rsid w:val="00A05527"/>
    <w:rsid w:val="00A05919"/>
    <w:rsid w:val="00A10F71"/>
    <w:rsid w:val="00A11BAC"/>
    <w:rsid w:val="00A12A8E"/>
    <w:rsid w:val="00A14905"/>
    <w:rsid w:val="00A15D6B"/>
    <w:rsid w:val="00A16218"/>
    <w:rsid w:val="00A17837"/>
    <w:rsid w:val="00A20F00"/>
    <w:rsid w:val="00A2159B"/>
    <w:rsid w:val="00A2382D"/>
    <w:rsid w:val="00A239C5"/>
    <w:rsid w:val="00A23B1D"/>
    <w:rsid w:val="00A23CBE"/>
    <w:rsid w:val="00A23D64"/>
    <w:rsid w:val="00A24C93"/>
    <w:rsid w:val="00A26C64"/>
    <w:rsid w:val="00A27138"/>
    <w:rsid w:val="00A276C8"/>
    <w:rsid w:val="00A30586"/>
    <w:rsid w:val="00A34D33"/>
    <w:rsid w:val="00A374B1"/>
    <w:rsid w:val="00A3760F"/>
    <w:rsid w:val="00A466FE"/>
    <w:rsid w:val="00A540AE"/>
    <w:rsid w:val="00A552DA"/>
    <w:rsid w:val="00A56825"/>
    <w:rsid w:val="00A6038D"/>
    <w:rsid w:val="00A62347"/>
    <w:rsid w:val="00A75AD4"/>
    <w:rsid w:val="00A75C99"/>
    <w:rsid w:val="00A77DF5"/>
    <w:rsid w:val="00A80B84"/>
    <w:rsid w:val="00A82AF9"/>
    <w:rsid w:val="00A91D94"/>
    <w:rsid w:val="00A92ABB"/>
    <w:rsid w:val="00A9498B"/>
    <w:rsid w:val="00A94C2A"/>
    <w:rsid w:val="00A956E1"/>
    <w:rsid w:val="00A9698D"/>
    <w:rsid w:val="00AA089D"/>
    <w:rsid w:val="00AA29E4"/>
    <w:rsid w:val="00AA3BE0"/>
    <w:rsid w:val="00AA5FE7"/>
    <w:rsid w:val="00AB0071"/>
    <w:rsid w:val="00AB47E9"/>
    <w:rsid w:val="00AB61AE"/>
    <w:rsid w:val="00AB6CD1"/>
    <w:rsid w:val="00AB7D07"/>
    <w:rsid w:val="00AC13B2"/>
    <w:rsid w:val="00AC1463"/>
    <w:rsid w:val="00AC67A5"/>
    <w:rsid w:val="00AD1E56"/>
    <w:rsid w:val="00AD238C"/>
    <w:rsid w:val="00AD3101"/>
    <w:rsid w:val="00AD46B7"/>
    <w:rsid w:val="00AD5213"/>
    <w:rsid w:val="00AD7FCD"/>
    <w:rsid w:val="00AE0B31"/>
    <w:rsid w:val="00AE613F"/>
    <w:rsid w:val="00AE6285"/>
    <w:rsid w:val="00AE7081"/>
    <w:rsid w:val="00AF0106"/>
    <w:rsid w:val="00AF11D2"/>
    <w:rsid w:val="00AF43E4"/>
    <w:rsid w:val="00AF491D"/>
    <w:rsid w:val="00AF64D6"/>
    <w:rsid w:val="00AF6800"/>
    <w:rsid w:val="00AF6BCA"/>
    <w:rsid w:val="00AF743C"/>
    <w:rsid w:val="00B00760"/>
    <w:rsid w:val="00B01669"/>
    <w:rsid w:val="00B02317"/>
    <w:rsid w:val="00B027FD"/>
    <w:rsid w:val="00B02CE7"/>
    <w:rsid w:val="00B0414E"/>
    <w:rsid w:val="00B06074"/>
    <w:rsid w:val="00B074A2"/>
    <w:rsid w:val="00B122AD"/>
    <w:rsid w:val="00B136AF"/>
    <w:rsid w:val="00B14D8C"/>
    <w:rsid w:val="00B15A73"/>
    <w:rsid w:val="00B17BB2"/>
    <w:rsid w:val="00B20922"/>
    <w:rsid w:val="00B241EA"/>
    <w:rsid w:val="00B24236"/>
    <w:rsid w:val="00B2491C"/>
    <w:rsid w:val="00B25501"/>
    <w:rsid w:val="00B269FC"/>
    <w:rsid w:val="00B301A8"/>
    <w:rsid w:val="00B301CD"/>
    <w:rsid w:val="00B33FB5"/>
    <w:rsid w:val="00B37464"/>
    <w:rsid w:val="00B41E49"/>
    <w:rsid w:val="00B42C1D"/>
    <w:rsid w:val="00B47B36"/>
    <w:rsid w:val="00B509BB"/>
    <w:rsid w:val="00B50F2C"/>
    <w:rsid w:val="00B50FE5"/>
    <w:rsid w:val="00B56832"/>
    <w:rsid w:val="00B56EDC"/>
    <w:rsid w:val="00B57A4D"/>
    <w:rsid w:val="00B6024C"/>
    <w:rsid w:val="00B604F4"/>
    <w:rsid w:val="00B60611"/>
    <w:rsid w:val="00B62BB1"/>
    <w:rsid w:val="00B62DAB"/>
    <w:rsid w:val="00B70165"/>
    <w:rsid w:val="00B712C2"/>
    <w:rsid w:val="00B7189C"/>
    <w:rsid w:val="00B72B1A"/>
    <w:rsid w:val="00B747C0"/>
    <w:rsid w:val="00B758AE"/>
    <w:rsid w:val="00B75C35"/>
    <w:rsid w:val="00B76AFB"/>
    <w:rsid w:val="00B80525"/>
    <w:rsid w:val="00B810FF"/>
    <w:rsid w:val="00B81C75"/>
    <w:rsid w:val="00B82FB0"/>
    <w:rsid w:val="00B833B4"/>
    <w:rsid w:val="00B83B4B"/>
    <w:rsid w:val="00B8525C"/>
    <w:rsid w:val="00B85320"/>
    <w:rsid w:val="00B8785D"/>
    <w:rsid w:val="00B9007E"/>
    <w:rsid w:val="00B93A7B"/>
    <w:rsid w:val="00B94B1C"/>
    <w:rsid w:val="00B96FA8"/>
    <w:rsid w:val="00B97465"/>
    <w:rsid w:val="00BA4BDB"/>
    <w:rsid w:val="00BA73CD"/>
    <w:rsid w:val="00BB040C"/>
    <w:rsid w:val="00BB0C76"/>
    <w:rsid w:val="00BB10B8"/>
    <w:rsid w:val="00BB1334"/>
    <w:rsid w:val="00BB161F"/>
    <w:rsid w:val="00BB1CBC"/>
    <w:rsid w:val="00BB590C"/>
    <w:rsid w:val="00BB733B"/>
    <w:rsid w:val="00BC20B1"/>
    <w:rsid w:val="00BC5515"/>
    <w:rsid w:val="00BC5FA2"/>
    <w:rsid w:val="00BD0A70"/>
    <w:rsid w:val="00BD4C78"/>
    <w:rsid w:val="00BD7B87"/>
    <w:rsid w:val="00BE1ED2"/>
    <w:rsid w:val="00BE1F34"/>
    <w:rsid w:val="00BE5013"/>
    <w:rsid w:val="00BE6583"/>
    <w:rsid w:val="00BF0FEB"/>
    <w:rsid w:val="00BF54FF"/>
    <w:rsid w:val="00BF630C"/>
    <w:rsid w:val="00BF6B15"/>
    <w:rsid w:val="00C00C75"/>
    <w:rsid w:val="00C04ED8"/>
    <w:rsid w:val="00C06F90"/>
    <w:rsid w:val="00C115BB"/>
    <w:rsid w:val="00C15867"/>
    <w:rsid w:val="00C15C71"/>
    <w:rsid w:val="00C25AE1"/>
    <w:rsid w:val="00C26780"/>
    <w:rsid w:val="00C2680D"/>
    <w:rsid w:val="00C300D1"/>
    <w:rsid w:val="00C303C5"/>
    <w:rsid w:val="00C319C4"/>
    <w:rsid w:val="00C31FCC"/>
    <w:rsid w:val="00C33370"/>
    <w:rsid w:val="00C335B9"/>
    <w:rsid w:val="00C400A5"/>
    <w:rsid w:val="00C407C7"/>
    <w:rsid w:val="00C41149"/>
    <w:rsid w:val="00C4137F"/>
    <w:rsid w:val="00C41407"/>
    <w:rsid w:val="00C41459"/>
    <w:rsid w:val="00C420A9"/>
    <w:rsid w:val="00C42F0A"/>
    <w:rsid w:val="00C43369"/>
    <w:rsid w:val="00C50BAE"/>
    <w:rsid w:val="00C53926"/>
    <w:rsid w:val="00C56618"/>
    <w:rsid w:val="00C708CA"/>
    <w:rsid w:val="00C7480A"/>
    <w:rsid w:val="00C74A9A"/>
    <w:rsid w:val="00C7689C"/>
    <w:rsid w:val="00C77D1C"/>
    <w:rsid w:val="00C77D22"/>
    <w:rsid w:val="00C81B12"/>
    <w:rsid w:val="00C81DB7"/>
    <w:rsid w:val="00C87F20"/>
    <w:rsid w:val="00C900CF"/>
    <w:rsid w:val="00C91AD8"/>
    <w:rsid w:val="00C91BC8"/>
    <w:rsid w:val="00C94234"/>
    <w:rsid w:val="00C94A2B"/>
    <w:rsid w:val="00C97582"/>
    <w:rsid w:val="00CA1B81"/>
    <w:rsid w:val="00CA2078"/>
    <w:rsid w:val="00CA21EF"/>
    <w:rsid w:val="00CA237E"/>
    <w:rsid w:val="00CA24F8"/>
    <w:rsid w:val="00CA35FB"/>
    <w:rsid w:val="00CA4616"/>
    <w:rsid w:val="00CA68AC"/>
    <w:rsid w:val="00CA7B78"/>
    <w:rsid w:val="00CB050A"/>
    <w:rsid w:val="00CB4D0E"/>
    <w:rsid w:val="00CC0DB8"/>
    <w:rsid w:val="00CC30BE"/>
    <w:rsid w:val="00CC4AEC"/>
    <w:rsid w:val="00CC4B86"/>
    <w:rsid w:val="00CC6315"/>
    <w:rsid w:val="00CC78AC"/>
    <w:rsid w:val="00CC7CCA"/>
    <w:rsid w:val="00CD0E64"/>
    <w:rsid w:val="00CD165C"/>
    <w:rsid w:val="00CD17AE"/>
    <w:rsid w:val="00CD2082"/>
    <w:rsid w:val="00CD24E8"/>
    <w:rsid w:val="00CD31CB"/>
    <w:rsid w:val="00CD380B"/>
    <w:rsid w:val="00CD796A"/>
    <w:rsid w:val="00CD7B00"/>
    <w:rsid w:val="00CE2E78"/>
    <w:rsid w:val="00CE431C"/>
    <w:rsid w:val="00CE7BAC"/>
    <w:rsid w:val="00CF0E21"/>
    <w:rsid w:val="00CF1E2C"/>
    <w:rsid w:val="00CF2AAC"/>
    <w:rsid w:val="00CF3075"/>
    <w:rsid w:val="00CF3782"/>
    <w:rsid w:val="00CF5ADF"/>
    <w:rsid w:val="00D0078B"/>
    <w:rsid w:val="00D0670D"/>
    <w:rsid w:val="00D06B11"/>
    <w:rsid w:val="00D1198F"/>
    <w:rsid w:val="00D148C2"/>
    <w:rsid w:val="00D167F4"/>
    <w:rsid w:val="00D2027C"/>
    <w:rsid w:val="00D20F74"/>
    <w:rsid w:val="00D2315C"/>
    <w:rsid w:val="00D31132"/>
    <w:rsid w:val="00D33BC2"/>
    <w:rsid w:val="00D342B1"/>
    <w:rsid w:val="00D344D2"/>
    <w:rsid w:val="00D34609"/>
    <w:rsid w:val="00D37A4C"/>
    <w:rsid w:val="00D41FC4"/>
    <w:rsid w:val="00D42D88"/>
    <w:rsid w:val="00D46439"/>
    <w:rsid w:val="00D46ED2"/>
    <w:rsid w:val="00D51234"/>
    <w:rsid w:val="00D54D3C"/>
    <w:rsid w:val="00D577C6"/>
    <w:rsid w:val="00D61C5D"/>
    <w:rsid w:val="00D63F6E"/>
    <w:rsid w:val="00D64F98"/>
    <w:rsid w:val="00D6587C"/>
    <w:rsid w:val="00D67418"/>
    <w:rsid w:val="00D67C0A"/>
    <w:rsid w:val="00D67D6B"/>
    <w:rsid w:val="00D70C22"/>
    <w:rsid w:val="00D70FF4"/>
    <w:rsid w:val="00D7173C"/>
    <w:rsid w:val="00D72B80"/>
    <w:rsid w:val="00D7495D"/>
    <w:rsid w:val="00D76F6C"/>
    <w:rsid w:val="00D80378"/>
    <w:rsid w:val="00D8084F"/>
    <w:rsid w:val="00D81BF9"/>
    <w:rsid w:val="00D8282A"/>
    <w:rsid w:val="00D84D1A"/>
    <w:rsid w:val="00D8536B"/>
    <w:rsid w:val="00D85DEA"/>
    <w:rsid w:val="00D864BD"/>
    <w:rsid w:val="00D90AE7"/>
    <w:rsid w:val="00D90F29"/>
    <w:rsid w:val="00D9143B"/>
    <w:rsid w:val="00D916F1"/>
    <w:rsid w:val="00D93AA9"/>
    <w:rsid w:val="00DA45BF"/>
    <w:rsid w:val="00DA50A1"/>
    <w:rsid w:val="00DA7F24"/>
    <w:rsid w:val="00DB1549"/>
    <w:rsid w:val="00DB6B89"/>
    <w:rsid w:val="00DB6C1E"/>
    <w:rsid w:val="00DC010B"/>
    <w:rsid w:val="00DC0A6B"/>
    <w:rsid w:val="00DC1573"/>
    <w:rsid w:val="00DC1714"/>
    <w:rsid w:val="00DC25C1"/>
    <w:rsid w:val="00DC56C4"/>
    <w:rsid w:val="00DC604E"/>
    <w:rsid w:val="00DC6573"/>
    <w:rsid w:val="00DC7B0A"/>
    <w:rsid w:val="00DD1F00"/>
    <w:rsid w:val="00DD7182"/>
    <w:rsid w:val="00DE0526"/>
    <w:rsid w:val="00DE0A07"/>
    <w:rsid w:val="00DE4660"/>
    <w:rsid w:val="00DE582C"/>
    <w:rsid w:val="00DE5D67"/>
    <w:rsid w:val="00DE64F5"/>
    <w:rsid w:val="00DF41BA"/>
    <w:rsid w:val="00DF522C"/>
    <w:rsid w:val="00E0191A"/>
    <w:rsid w:val="00E0392B"/>
    <w:rsid w:val="00E06FB4"/>
    <w:rsid w:val="00E10266"/>
    <w:rsid w:val="00E11874"/>
    <w:rsid w:val="00E14215"/>
    <w:rsid w:val="00E152A3"/>
    <w:rsid w:val="00E1559B"/>
    <w:rsid w:val="00E17331"/>
    <w:rsid w:val="00E20564"/>
    <w:rsid w:val="00E207D6"/>
    <w:rsid w:val="00E210BA"/>
    <w:rsid w:val="00E213FE"/>
    <w:rsid w:val="00E342CD"/>
    <w:rsid w:val="00E34589"/>
    <w:rsid w:val="00E36760"/>
    <w:rsid w:val="00E36D56"/>
    <w:rsid w:val="00E44A82"/>
    <w:rsid w:val="00E45FCC"/>
    <w:rsid w:val="00E61B22"/>
    <w:rsid w:val="00E650D5"/>
    <w:rsid w:val="00E67E57"/>
    <w:rsid w:val="00E70373"/>
    <w:rsid w:val="00E713B3"/>
    <w:rsid w:val="00E72220"/>
    <w:rsid w:val="00E75C6D"/>
    <w:rsid w:val="00E80A58"/>
    <w:rsid w:val="00E81254"/>
    <w:rsid w:val="00E84B84"/>
    <w:rsid w:val="00E87B09"/>
    <w:rsid w:val="00E90F7B"/>
    <w:rsid w:val="00E91991"/>
    <w:rsid w:val="00E926B4"/>
    <w:rsid w:val="00E938D3"/>
    <w:rsid w:val="00E93E12"/>
    <w:rsid w:val="00E950A9"/>
    <w:rsid w:val="00EA0080"/>
    <w:rsid w:val="00EA05EC"/>
    <w:rsid w:val="00EA1EB7"/>
    <w:rsid w:val="00EA3287"/>
    <w:rsid w:val="00EA37E6"/>
    <w:rsid w:val="00EA48ED"/>
    <w:rsid w:val="00EA50E1"/>
    <w:rsid w:val="00EA6A8F"/>
    <w:rsid w:val="00EA7365"/>
    <w:rsid w:val="00EA77C7"/>
    <w:rsid w:val="00EB53AB"/>
    <w:rsid w:val="00EB5D5D"/>
    <w:rsid w:val="00EB6EFA"/>
    <w:rsid w:val="00EB70EC"/>
    <w:rsid w:val="00EC092B"/>
    <w:rsid w:val="00EC1E76"/>
    <w:rsid w:val="00ED02AE"/>
    <w:rsid w:val="00ED0B33"/>
    <w:rsid w:val="00ED1746"/>
    <w:rsid w:val="00ED7E03"/>
    <w:rsid w:val="00EE0469"/>
    <w:rsid w:val="00EE08D2"/>
    <w:rsid w:val="00EE2A20"/>
    <w:rsid w:val="00EE3709"/>
    <w:rsid w:val="00EE5131"/>
    <w:rsid w:val="00EF0A8A"/>
    <w:rsid w:val="00EF0CAE"/>
    <w:rsid w:val="00EF40EF"/>
    <w:rsid w:val="00EF42AD"/>
    <w:rsid w:val="00EF5256"/>
    <w:rsid w:val="00EF7452"/>
    <w:rsid w:val="00F00F2A"/>
    <w:rsid w:val="00F01F57"/>
    <w:rsid w:val="00F02848"/>
    <w:rsid w:val="00F05116"/>
    <w:rsid w:val="00F058F7"/>
    <w:rsid w:val="00F05C5D"/>
    <w:rsid w:val="00F068D6"/>
    <w:rsid w:val="00F06FE5"/>
    <w:rsid w:val="00F10A38"/>
    <w:rsid w:val="00F10EA3"/>
    <w:rsid w:val="00F159D4"/>
    <w:rsid w:val="00F170F5"/>
    <w:rsid w:val="00F175CD"/>
    <w:rsid w:val="00F308A1"/>
    <w:rsid w:val="00F310EC"/>
    <w:rsid w:val="00F315A5"/>
    <w:rsid w:val="00F31968"/>
    <w:rsid w:val="00F41860"/>
    <w:rsid w:val="00F42508"/>
    <w:rsid w:val="00F44395"/>
    <w:rsid w:val="00F44EC6"/>
    <w:rsid w:val="00F45DC8"/>
    <w:rsid w:val="00F45E14"/>
    <w:rsid w:val="00F50459"/>
    <w:rsid w:val="00F52E8A"/>
    <w:rsid w:val="00F53331"/>
    <w:rsid w:val="00F574CB"/>
    <w:rsid w:val="00F61C65"/>
    <w:rsid w:val="00F62A21"/>
    <w:rsid w:val="00F6322C"/>
    <w:rsid w:val="00F66E24"/>
    <w:rsid w:val="00F746AE"/>
    <w:rsid w:val="00F74C49"/>
    <w:rsid w:val="00F75284"/>
    <w:rsid w:val="00F76F4C"/>
    <w:rsid w:val="00F776AF"/>
    <w:rsid w:val="00F84590"/>
    <w:rsid w:val="00F85107"/>
    <w:rsid w:val="00F87598"/>
    <w:rsid w:val="00F92B3C"/>
    <w:rsid w:val="00F973CA"/>
    <w:rsid w:val="00F978EE"/>
    <w:rsid w:val="00F97A1A"/>
    <w:rsid w:val="00FA12BA"/>
    <w:rsid w:val="00FA1EC7"/>
    <w:rsid w:val="00FA3ABD"/>
    <w:rsid w:val="00FB1EEC"/>
    <w:rsid w:val="00FB4AF3"/>
    <w:rsid w:val="00FC39E0"/>
    <w:rsid w:val="00FC47DA"/>
    <w:rsid w:val="00FC545D"/>
    <w:rsid w:val="00FC5A6A"/>
    <w:rsid w:val="00FD2947"/>
    <w:rsid w:val="00FD46E3"/>
    <w:rsid w:val="00FD7553"/>
    <w:rsid w:val="00FE07E2"/>
    <w:rsid w:val="00FE0B62"/>
    <w:rsid w:val="00FE6AA0"/>
    <w:rsid w:val="00FE7024"/>
    <w:rsid w:val="00FE7128"/>
    <w:rsid w:val="00FF1FE6"/>
    <w:rsid w:val="00FF53F5"/>
    <w:rsid w:val="010041E8"/>
    <w:rsid w:val="0108167F"/>
    <w:rsid w:val="010F30E0"/>
    <w:rsid w:val="011B317D"/>
    <w:rsid w:val="01213EDC"/>
    <w:rsid w:val="014D4DC8"/>
    <w:rsid w:val="0154A997"/>
    <w:rsid w:val="017A10B8"/>
    <w:rsid w:val="0186B76C"/>
    <w:rsid w:val="01A60A7B"/>
    <w:rsid w:val="01A84B1E"/>
    <w:rsid w:val="01CAE7AB"/>
    <w:rsid w:val="01DE221D"/>
    <w:rsid w:val="01F93AFB"/>
    <w:rsid w:val="01FF7BE1"/>
    <w:rsid w:val="02011475"/>
    <w:rsid w:val="02061FC0"/>
    <w:rsid w:val="022BC734"/>
    <w:rsid w:val="024E12BD"/>
    <w:rsid w:val="0262F532"/>
    <w:rsid w:val="02784228"/>
    <w:rsid w:val="027A4BDA"/>
    <w:rsid w:val="028E1EE4"/>
    <w:rsid w:val="02CF1C97"/>
    <w:rsid w:val="02D50A66"/>
    <w:rsid w:val="02EE9B34"/>
    <w:rsid w:val="02F4C2D2"/>
    <w:rsid w:val="03046ED3"/>
    <w:rsid w:val="030B32A1"/>
    <w:rsid w:val="031B92B3"/>
    <w:rsid w:val="0321275A"/>
    <w:rsid w:val="033D775A"/>
    <w:rsid w:val="03412192"/>
    <w:rsid w:val="036BEFF5"/>
    <w:rsid w:val="03B9CBF5"/>
    <w:rsid w:val="03BB8CB9"/>
    <w:rsid w:val="03CEF200"/>
    <w:rsid w:val="03E325BA"/>
    <w:rsid w:val="03FF1DCD"/>
    <w:rsid w:val="0405D506"/>
    <w:rsid w:val="04336ED3"/>
    <w:rsid w:val="04398D80"/>
    <w:rsid w:val="04540B21"/>
    <w:rsid w:val="046021D0"/>
    <w:rsid w:val="047B0BB6"/>
    <w:rsid w:val="0486BAC6"/>
    <w:rsid w:val="048E6C00"/>
    <w:rsid w:val="04A5DCD7"/>
    <w:rsid w:val="04B973B6"/>
    <w:rsid w:val="04DDED98"/>
    <w:rsid w:val="04E31CE3"/>
    <w:rsid w:val="04E75056"/>
    <w:rsid w:val="04F40BE7"/>
    <w:rsid w:val="04FF07E3"/>
    <w:rsid w:val="0502886D"/>
    <w:rsid w:val="0504409F"/>
    <w:rsid w:val="050711CC"/>
    <w:rsid w:val="0508F9B5"/>
    <w:rsid w:val="05237D54"/>
    <w:rsid w:val="052DE830"/>
    <w:rsid w:val="05475712"/>
    <w:rsid w:val="054DFEDE"/>
    <w:rsid w:val="0592B48A"/>
    <w:rsid w:val="05A54923"/>
    <w:rsid w:val="05C96F74"/>
    <w:rsid w:val="05CECC86"/>
    <w:rsid w:val="05EC895C"/>
    <w:rsid w:val="0606824E"/>
    <w:rsid w:val="060A1DBA"/>
    <w:rsid w:val="063D2B1E"/>
    <w:rsid w:val="065E4064"/>
    <w:rsid w:val="066A002B"/>
    <w:rsid w:val="06822272"/>
    <w:rsid w:val="068ABE15"/>
    <w:rsid w:val="06AECEE1"/>
    <w:rsid w:val="06B8CF30"/>
    <w:rsid w:val="06C1F96A"/>
    <w:rsid w:val="06D0431D"/>
    <w:rsid w:val="06D5D69D"/>
    <w:rsid w:val="06D7032F"/>
    <w:rsid w:val="070A522F"/>
    <w:rsid w:val="07185DCD"/>
    <w:rsid w:val="07262EE4"/>
    <w:rsid w:val="073A0543"/>
    <w:rsid w:val="0745FDBF"/>
    <w:rsid w:val="07548549"/>
    <w:rsid w:val="076151E9"/>
    <w:rsid w:val="0770C7C5"/>
    <w:rsid w:val="0778BBAC"/>
    <w:rsid w:val="077A7B9F"/>
    <w:rsid w:val="07908060"/>
    <w:rsid w:val="0790DE03"/>
    <w:rsid w:val="07BEC127"/>
    <w:rsid w:val="07E7BAF5"/>
    <w:rsid w:val="07EB91CB"/>
    <w:rsid w:val="0834112E"/>
    <w:rsid w:val="0844939A"/>
    <w:rsid w:val="0859D318"/>
    <w:rsid w:val="085C5966"/>
    <w:rsid w:val="089CC0A6"/>
    <w:rsid w:val="08A002D4"/>
    <w:rsid w:val="08C48DA9"/>
    <w:rsid w:val="08D7564E"/>
    <w:rsid w:val="08DCF060"/>
    <w:rsid w:val="08DD395C"/>
    <w:rsid w:val="09072890"/>
    <w:rsid w:val="0907BB4C"/>
    <w:rsid w:val="09117008"/>
    <w:rsid w:val="092286C1"/>
    <w:rsid w:val="09263DFA"/>
    <w:rsid w:val="092920DC"/>
    <w:rsid w:val="0940AD7F"/>
    <w:rsid w:val="0966BB63"/>
    <w:rsid w:val="097A9E7D"/>
    <w:rsid w:val="09806DD9"/>
    <w:rsid w:val="099BC6A2"/>
    <w:rsid w:val="099BC946"/>
    <w:rsid w:val="099F8885"/>
    <w:rsid w:val="09A30610"/>
    <w:rsid w:val="09AF197D"/>
    <w:rsid w:val="09B70A82"/>
    <w:rsid w:val="09BAD5F1"/>
    <w:rsid w:val="09D267AD"/>
    <w:rsid w:val="09D807F9"/>
    <w:rsid w:val="09EBC067"/>
    <w:rsid w:val="09F3351B"/>
    <w:rsid w:val="0A199563"/>
    <w:rsid w:val="0A360A9C"/>
    <w:rsid w:val="0A388B98"/>
    <w:rsid w:val="0A3B1C67"/>
    <w:rsid w:val="0A47899D"/>
    <w:rsid w:val="0A6B8E69"/>
    <w:rsid w:val="0A6E7656"/>
    <w:rsid w:val="0A754361"/>
    <w:rsid w:val="0A816C98"/>
    <w:rsid w:val="0A8BD693"/>
    <w:rsid w:val="0ABB68A7"/>
    <w:rsid w:val="0ACF5A02"/>
    <w:rsid w:val="0AD7229E"/>
    <w:rsid w:val="0ADE7EF9"/>
    <w:rsid w:val="0AE01C4B"/>
    <w:rsid w:val="0AEE25DB"/>
    <w:rsid w:val="0B08BDA4"/>
    <w:rsid w:val="0B26181E"/>
    <w:rsid w:val="0B2D29E9"/>
    <w:rsid w:val="0B2F0EB9"/>
    <w:rsid w:val="0B58CC45"/>
    <w:rsid w:val="0B5E6B68"/>
    <w:rsid w:val="0B71E4B9"/>
    <w:rsid w:val="0B8FDCDD"/>
    <w:rsid w:val="0B9A3257"/>
    <w:rsid w:val="0BC5E0C5"/>
    <w:rsid w:val="0BE7F1CC"/>
    <w:rsid w:val="0BE81A05"/>
    <w:rsid w:val="0BFF0042"/>
    <w:rsid w:val="0C00F3C8"/>
    <w:rsid w:val="0C149122"/>
    <w:rsid w:val="0C1515C0"/>
    <w:rsid w:val="0C17654B"/>
    <w:rsid w:val="0C1E3302"/>
    <w:rsid w:val="0C2DF43D"/>
    <w:rsid w:val="0C60B31B"/>
    <w:rsid w:val="0CAE12B9"/>
    <w:rsid w:val="0CB296C6"/>
    <w:rsid w:val="0CB81B5B"/>
    <w:rsid w:val="0CCBB72A"/>
    <w:rsid w:val="0CD27A16"/>
    <w:rsid w:val="0CF9ACAC"/>
    <w:rsid w:val="0D2B51C1"/>
    <w:rsid w:val="0D3FFA2E"/>
    <w:rsid w:val="0D472164"/>
    <w:rsid w:val="0D58A9D4"/>
    <w:rsid w:val="0D5F66E9"/>
    <w:rsid w:val="0D82E461"/>
    <w:rsid w:val="0D914AD3"/>
    <w:rsid w:val="0DA19394"/>
    <w:rsid w:val="0DCE103A"/>
    <w:rsid w:val="0DEADC56"/>
    <w:rsid w:val="0E176FF7"/>
    <w:rsid w:val="0E1DD2BF"/>
    <w:rsid w:val="0E1DE1B7"/>
    <w:rsid w:val="0E27904A"/>
    <w:rsid w:val="0E429E05"/>
    <w:rsid w:val="0E466F6E"/>
    <w:rsid w:val="0E59161C"/>
    <w:rsid w:val="0E6779F1"/>
    <w:rsid w:val="0EE8941B"/>
    <w:rsid w:val="0EFDA1D4"/>
    <w:rsid w:val="0F2609D8"/>
    <w:rsid w:val="0F2B829E"/>
    <w:rsid w:val="0F40D532"/>
    <w:rsid w:val="0F5377BC"/>
    <w:rsid w:val="0F5FA1B1"/>
    <w:rsid w:val="0F76E61E"/>
    <w:rsid w:val="0F7D71BA"/>
    <w:rsid w:val="0F7FD3D4"/>
    <w:rsid w:val="0F827C65"/>
    <w:rsid w:val="0F8344A5"/>
    <w:rsid w:val="0FA11CD3"/>
    <w:rsid w:val="0FA3B35D"/>
    <w:rsid w:val="0FA47676"/>
    <w:rsid w:val="0FB7872E"/>
    <w:rsid w:val="0FB88B03"/>
    <w:rsid w:val="0FBF62E1"/>
    <w:rsid w:val="0FC41BFA"/>
    <w:rsid w:val="0FC54CF7"/>
    <w:rsid w:val="0FDC90B9"/>
    <w:rsid w:val="0FE8BF7B"/>
    <w:rsid w:val="0FF2525A"/>
    <w:rsid w:val="0FF55AFB"/>
    <w:rsid w:val="100405F6"/>
    <w:rsid w:val="100D3CAB"/>
    <w:rsid w:val="102C1AB2"/>
    <w:rsid w:val="10370407"/>
    <w:rsid w:val="10397F3D"/>
    <w:rsid w:val="104307AA"/>
    <w:rsid w:val="1060632C"/>
    <w:rsid w:val="1060FAF4"/>
    <w:rsid w:val="1063C0E7"/>
    <w:rsid w:val="10655D0B"/>
    <w:rsid w:val="106E6371"/>
    <w:rsid w:val="10781581"/>
    <w:rsid w:val="1085E7AF"/>
    <w:rsid w:val="108DDC3D"/>
    <w:rsid w:val="109DCCE9"/>
    <w:rsid w:val="10C152F5"/>
    <w:rsid w:val="10E1139B"/>
    <w:rsid w:val="110CECF8"/>
    <w:rsid w:val="112D0D8C"/>
    <w:rsid w:val="1134243E"/>
    <w:rsid w:val="1154E860"/>
    <w:rsid w:val="11669BF0"/>
    <w:rsid w:val="11750D42"/>
    <w:rsid w:val="117C2F41"/>
    <w:rsid w:val="117D05C4"/>
    <w:rsid w:val="11910E8F"/>
    <w:rsid w:val="11A9B702"/>
    <w:rsid w:val="11C9D9CA"/>
    <w:rsid w:val="11D963DD"/>
    <w:rsid w:val="11E591BD"/>
    <w:rsid w:val="11E894C1"/>
    <w:rsid w:val="11E946F9"/>
    <w:rsid w:val="11F42A6E"/>
    <w:rsid w:val="121ECBB4"/>
    <w:rsid w:val="1226325E"/>
    <w:rsid w:val="12382264"/>
    <w:rsid w:val="123DDD28"/>
    <w:rsid w:val="12528ECE"/>
    <w:rsid w:val="1262CFD9"/>
    <w:rsid w:val="1272305D"/>
    <w:rsid w:val="1279883B"/>
    <w:rsid w:val="128289E3"/>
    <w:rsid w:val="12848968"/>
    <w:rsid w:val="128B187E"/>
    <w:rsid w:val="12A84BAF"/>
    <w:rsid w:val="12A92B98"/>
    <w:rsid w:val="12BFA45B"/>
    <w:rsid w:val="12F8AE87"/>
    <w:rsid w:val="13192D2A"/>
    <w:rsid w:val="13471E7F"/>
    <w:rsid w:val="134D3224"/>
    <w:rsid w:val="13542FF9"/>
    <w:rsid w:val="13564B71"/>
    <w:rsid w:val="13586405"/>
    <w:rsid w:val="135A64C0"/>
    <w:rsid w:val="139B2924"/>
    <w:rsid w:val="13A0C68C"/>
    <w:rsid w:val="13AC04D7"/>
    <w:rsid w:val="13AF76C0"/>
    <w:rsid w:val="13C12F66"/>
    <w:rsid w:val="13CEA86D"/>
    <w:rsid w:val="13E13A9F"/>
    <w:rsid w:val="13E901E9"/>
    <w:rsid w:val="13F05AF7"/>
    <w:rsid w:val="1418683F"/>
    <w:rsid w:val="142B0AA7"/>
    <w:rsid w:val="142B1115"/>
    <w:rsid w:val="145087D5"/>
    <w:rsid w:val="1451C8BD"/>
    <w:rsid w:val="145CC677"/>
    <w:rsid w:val="1465015A"/>
    <w:rsid w:val="14706D60"/>
    <w:rsid w:val="147A538B"/>
    <w:rsid w:val="148CB5E9"/>
    <w:rsid w:val="14A0B2F5"/>
    <w:rsid w:val="14A199F3"/>
    <w:rsid w:val="14A6E9F8"/>
    <w:rsid w:val="14C6D3A0"/>
    <w:rsid w:val="14C9B23F"/>
    <w:rsid w:val="14D2684F"/>
    <w:rsid w:val="14E01EE7"/>
    <w:rsid w:val="14E22ED6"/>
    <w:rsid w:val="14EEC9FC"/>
    <w:rsid w:val="14F21BD2"/>
    <w:rsid w:val="1518F0FD"/>
    <w:rsid w:val="151E0573"/>
    <w:rsid w:val="1520EF69"/>
    <w:rsid w:val="1527E28D"/>
    <w:rsid w:val="153227A8"/>
    <w:rsid w:val="15346F52"/>
    <w:rsid w:val="157AC184"/>
    <w:rsid w:val="157FD099"/>
    <w:rsid w:val="159D30FD"/>
    <w:rsid w:val="15A42C3E"/>
    <w:rsid w:val="15BB8FA1"/>
    <w:rsid w:val="15BD2BAF"/>
    <w:rsid w:val="15D1B61F"/>
    <w:rsid w:val="15ECAEC5"/>
    <w:rsid w:val="15F7D02C"/>
    <w:rsid w:val="15FAC24C"/>
    <w:rsid w:val="16069942"/>
    <w:rsid w:val="1609EB8C"/>
    <w:rsid w:val="160E7EF4"/>
    <w:rsid w:val="16154036"/>
    <w:rsid w:val="16223601"/>
    <w:rsid w:val="162C160E"/>
    <w:rsid w:val="164513A7"/>
    <w:rsid w:val="164FD2EF"/>
    <w:rsid w:val="165094A1"/>
    <w:rsid w:val="166A723D"/>
    <w:rsid w:val="167DFF37"/>
    <w:rsid w:val="169004C7"/>
    <w:rsid w:val="16944540"/>
    <w:rsid w:val="1695A68C"/>
    <w:rsid w:val="16A66C00"/>
    <w:rsid w:val="16B2A153"/>
    <w:rsid w:val="16B79055"/>
    <w:rsid w:val="16CF88B7"/>
    <w:rsid w:val="16D848DD"/>
    <w:rsid w:val="16E89CEA"/>
    <w:rsid w:val="170111FE"/>
    <w:rsid w:val="17104A72"/>
    <w:rsid w:val="17253308"/>
    <w:rsid w:val="17334171"/>
    <w:rsid w:val="174DC103"/>
    <w:rsid w:val="17548161"/>
    <w:rsid w:val="175F6A06"/>
    <w:rsid w:val="176C9A85"/>
    <w:rsid w:val="176CF9E4"/>
    <w:rsid w:val="17817BF9"/>
    <w:rsid w:val="1783D3CC"/>
    <w:rsid w:val="17932874"/>
    <w:rsid w:val="1796518C"/>
    <w:rsid w:val="17A5A84E"/>
    <w:rsid w:val="17C29A5C"/>
    <w:rsid w:val="17D32545"/>
    <w:rsid w:val="17DD6005"/>
    <w:rsid w:val="17DFE3FE"/>
    <w:rsid w:val="17EF54A7"/>
    <w:rsid w:val="17F736F5"/>
    <w:rsid w:val="17FA071B"/>
    <w:rsid w:val="18030776"/>
    <w:rsid w:val="1828ED8F"/>
    <w:rsid w:val="183C0ACA"/>
    <w:rsid w:val="1847DBE5"/>
    <w:rsid w:val="185BA9A5"/>
    <w:rsid w:val="188A1A03"/>
    <w:rsid w:val="18E0FCFD"/>
    <w:rsid w:val="18E76456"/>
    <w:rsid w:val="18EA5E20"/>
    <w:rsid w:val="18EE6427"/>
    <w:rsid w:val="1913525C"/>
    <w:rsid w:val="192AB626"/>
    <w:rsid w:val="19347A08"/>
    <w:rsid w:val="194B66AD"/>
    <w:rsid w:val="1950F8D9"/>
    <w:rsid w:val="195469DF"/>
    <w:rsid w:val="197B490B"/>
    <w:rsid w:val="197FF8E9"/>
    <w:rsid w:val="198624CA"/>
    <w:rsid w:val="1995AED8"/>
    <w:rsid w:val="1997D4C1"/>
    <w:rsid w:val="19B5C289"/>
    <w:rsid w:val="19BF9674"/>
    <w:rsid w:val="19C73926"/>
    <w:rsid w:val="19D608BA"/>
    <w:rsid w:val="19E19437"/>
    <w:rsid w:val="19E38178"/>
    <w:rsid w:val="19F74CF5"/>
    <w:rsid w:val="1A15049B"/>
    <w:rsid w:val="1A284CB6"/>
    <w:rsid w:val="1A2D4776"/>
    <w:rsid w:val="1A43BFE5"/>
    <w:rsid w:val="1A52B0A1"/>
    <w:rsid w:val="1A734CB8"/>
    <w:rsid w:val="1A7E7476"/>
    <w:rsid w:val="1A9B5A05"/>
    <w:rsid w:val="1AA9477B"/>
    <w:rsid w:val="1AB4DA40"/>
    <w:rsid w:val="1AB6ACBC"/>
    <w:rsid w:val="1AB91CBB"/>
    <w:rsid w:val="1ABB0BCA"/>
    <w:rsid w:val="1AC3FAED"/>
    <w:rsid w:val="1ADC3EBA"/>
    <w:rsid w:val="1AE4F377"/>
    <w:rsid w:val="1AF217B3"/>
    <w:rsid w:val="1B17EC75"/>
    <w:rsid w:val="1B1C6667"/>
    <w:rsid w:val="1B40E006"/>
    <w:rsid w:val="1B4B5AD5"/>
    <w:rsid w:val="1B5F394B"/>
    <w:rsid w:val="1B61F472"/>
    <w:rsid w:val="1B65D4EA"/>
    <w:rsid w:val="1B6829A3"/>
    <w:rsid w:val="1B6F0A24"/>
    <w:rsid w:val="1B868D1A"/>
    <w:rsid w:val="1B8C495E"/>
    <w:rsid w:val="1BA7A061"/>
    <w:rsid w:val="1BC23B1D"/>
    <w:rsid w:val="1BCDE0C9"/>
    <w:rsid w:val="1BD2486C"/>
    <w:rsid w:val="1BDDBC29"/>
    <w:rsid w:val="1BE086BF"/>
    <w:rsid w:val="1BE1A81B"/>
    <w:rsid w:val="1C00DB2E"/>
    <w:rsid w:val="1C1176F2"/>
    <w:rsid w:val="1C11B15E"/>
    <w:rsid w:val="1C30CF9D"/>
    <w:rsid w:val="1C38188D"/>
    <w:rsid w:val="1C3A8032"/>
    <w:rsid w:val="1C3F3F70"/>
    <w:rsid w:val="1C42BF23"/>
    <w:rsid w:val="1C6711B0"/>
    <w:rsid w:val="1C674223"/>
    <w:rsid w:val="1C6A8399"/>
    <w:rsid w:val="1C72CEDC"/>
    <w:rsid w:val="1C93D573"/>
    <w:rsid w:val="1C98C551"/>
    <w:rsid w:val="1CA51AA5"/>
    <w:rsid w:val="1CB3DB3E"/>
    <w:rsid w:val="1CC0AF98"/>
    <w:rsid w:val="1CDE04A2"/>
    <w:rsid w:val="1CE1E9E2"/>
    <w:rsid w:val="1CF599C1"/>
    <w:rsid w:val="1CF61D3B"/>
    <w:rsid w:val="1D08339F"/>
    <w:rsid w:val="1D1DE937"/>
    <w:rsid w:val="1D33BE1C"/>
    <w:rsid w:val="1D35AF2C"/>
    <w:rsid w:val="1D38C437"/>
    <w:rsid w:val="1D5255C6"/>
    <w:rsid w:val="1D5CFCF8"/>
    <w:rsid w:val="1D74D69E"/>
    <w:rsid w:val="1D8D6F1D"/>
    <w:rsid w:val="1DD167E1"/>
    <w:rsid w:val="1E05AF73"/>
    <w:rsid w:val="1E11535F"/>
    <w:rsid w:val="1E12E3D8"/>
    <w:rsid w:val="1E28884C"/>
    <w:rsid w:val="1E3215C0"/>
    <w:rsid w:val="1E32E1BB"/>
    <w:rsid w:val="1E5D7CB3"/>
    <w:rsid w:val="1E627B20"/>
    <w:rsid w:val="1E7736AF"/>
    <w:rsid w:val="1E7BDD16"/>
    <w:rsid w:val="1E89A1AA"/>
    <w:rsid w:val="1E8D0FAA"/>
    <w:rsid w:val="1E970807"/>
    <w:rsid w:val="1EAB157B"/>
    <w:rsid w:val="1EAC36D3"/>
    <w:rsid w:val="1EAFFDD5"/>
    <w:rsid w:val="1ED6CF96"/>
    <w:rsid w:val="1EE94629"/>
    <w:rsid w:val="1EEDC5EE"/>
    <w:rsid w:val="1EEEB9EA"/>
    <w:rsid w:val="1F11C9B9"/>
    <w:rsid w:val="1F17DDBA"/>
    <w:rsid w:val="1F2499BC"/>
    <w:rsid w:val="1F4A3F2B"/>
    <w:rsid w:val="1F670907"/>
    <w:rsid w:val="1F72804C"/>
    <w:rsid w:val="1F7342C9"/>
    <w:rsid w:val="1F947B64"/>
    <w:rsid w:val="1FA637C8"/>
    <w:rsid w:val="1FABC867"/>
    <w:rsid w:val="1FAD7B07"/>
    <w:rsid w:val="1FCDBC43"/>
    <w:rsid w:val="1FD58C77"/>
    <w:rsid w:val="1FE3E294"/>
    <w:rsid w:val="1FF3D73B"/>
    <w:rsid w:val="1FFC6E13"/>
    <w:rsid w:val="20152A31"/>
    <w:rsid w:val="20175683"/>
    <w:rsid w:val="20192C9C"/>
    <w:rsid w:val="2022B69B"/>
    <w:rsid w:val="20236075"/>
    <w:rsid w:val="202A681B"/>
    <w:rsid w:val="203A327C"/>
    <w:rsid w:val="20851DB8"/>
    <w:rsid w:val="20903907"/>
    <w:rsid w:val="2095AC40"/>
    <w:rsid w:val="20A8EDDF"/>
    <w:rsid w:val="20B3476D"/>
    <w:rsid w:val="20BD5E00"/>
    <w:rsid w:val="20C6A484"/>
    <w:rsid w:val="20C6AF7B"/>
    <w:rsid w:val="20C97246"/>
    <w:rsid w:val="20E3FA68"/>
    <w:rsid w:val="20E5FC8E"/>
    <w:rsid w:val="20E94101"/>
    <w:rsid w:val="20ED4EB7"/>
    <w:rsid w:val="20ED8702"/>
    <w:rsid w:val="20FB456D"/>
    <w:rsid w:val="20FD493A"/>
    <w:rsid w:val="2114D722"/>
    <w:rsid w:val="2120B2FB"/>
    <w:rsid w:val="2137A82F"/>
    <w:rsid w:val="213A82D3"/>
    <w:rsid w:val="2143B13F"/>
    <w:rsid w:val="215446C2"/>
    <w:rsid w:val="21560502"/>
    <w:rsid w:val="215AFE84"/>
    <w:rsid w:val="217FB2F5"/>
    <w:rsid w:val="2187C64E"/>
    <w:rsid w:val="218F884A"/>
    <w:rsid w:val="21AE01F3"/>
    <w:rsid w:val="21D564D6"/>
    <w:rsid w:val="21EDDE49"/>
    <w:rsid w:val="21F038B2"/>
    <w:rsid w:val="22001BA8"/>
    <w:rsid w:val="220781C4"/>
    <w:rsid w:val="22520B2C"/>
    <w:rsid w:val="22524579"/>
    <w:rsid w:val="2266C236"/>
    <w:rsid w:val="226C23D4"/>
    <w:rsid w:val="226EABCF"/>
    <w:rsid w:val="227A5B35"/>
    <w:rsid w:val="22854E9C"/>
    <w:rsid w:val="228AEF37"/>
    <w:rsid w:val="229AF54C"/>
    <w:rsid w:val="22A47555"/>
    <w:rsid w:val="22B7C1A5"/>
    <w:rsid w:val="22D81D10"/>
    <w:rsid w:val="22DE3690"/>
    <w:rsid w:val="230A7436"/>
    <w:rsid w:val="230AC83B"/>
    <w:rsid w:val="231591D4"/>
    <w:rsid w:val="2331E0C0"/>
    <w:rsid w:val="234B1CE8"/>
    <w:rsid w:val="23580CDA"/>
    <w:rsid w:val="235D02C9"/>
    <w:rsid w:val="23728AF2"/>
    <w:rsid w:val="23812E04"/>
    <w:rsid w:val="23856E7D"/>
    <w:rsid w:val="238A0350"/>
    <w:rsid w:val="238E804A"/>
    <w:rsid w:val="238FD5FB"/>
    <w:rsid w:val="23A01A3B"/>
    <w:rsid w:val="23A7A41A"/>
    <w:rsid w:val="23ABE87E"/>
    <w:rsid w:val="23AD5145"/>
    <w:rsid w:val="23B1E36B"/>
    <w:rsid w:val="23BB11BF"/>
    <w:rsid w:val="23C6C91A"/>
    <w:rsid w:val="23CE5EF3"/>
    <w:rsid w:val="23E67F88"/>
    <w:rsid w:val="24070CE3"/>
    <w:rsid w:val="2432F7DD"/>
    <w:rsid w:val="24392817"/>
    <w:rsid w:val="245C6D21"/>
    <w:rsid w:val="24616859"/>
    <w:rsid w:val="246A0853"/>
    <w:rsid w:val="246C0988"/>
    <w:rsid w:val="24757A22"/>
    <w:rsid w:val="247650E0"/>
    <w:rsid w:val="2486B2F9"/>
    <w:rsid w:val="249D73ED"/>
    <w:rsid w:val="24AF2309"/>
    <w:rsid w:val="24B1CA49"/>
    <w:rsid w:val="24B7C1A9"/>
    <w:rsid w:val="24DCD010"/>
    <w:rsid w:val="24E1B9C6"/>
    <w:rsid w:val="24E3306D"/>
    <w:rsid w:val="24EC1A9C"/>
    <w:rsid w:val="24F2D751"/>
    <w:rsid w:val="24F36B86"/>
    <w:rsid w:val="2501545E"/>
    <w:rsid w:val="25025FAA"/>
    <w:rsid w:val="251CF16F"/>
    <w:rsid w:val="25335C01"/>
    <w:rsid w:val="254D2A2F"/>
    <w:rsid w:val="256213B6"/>
    <w:rsid w:val="2568C583"/>
    <w:rsid w:val="25A389C7"/>
    <w:rsid w:val="25B5FAEB"/>
    <w:rsid w:val="25BBB3A7"/>
    <w:rsid w:val="25C0812A"/>
    <w:rsid w:val="25DCBFEC"/>
    <w:rsid w:val="25EE014B"/>
    <w:rsid w:val="2600131E"/>
    <w:rsid w:val="261CD214"/>
    <w:rsid w:val="2627B7E5"/>
    <w:rsid w:val="262AD5C7"/>
    <w:rsid w:val="265A1338"/>
    <w:rsid w:val="26702A4A"/>
    <w:rsid w:val="267C59ED"/>
    <w:rsid w:val="267FC300"/>
    <w:rsid w:val="2693C23C"/>
    <w:rsid w:val="26A081F4"/>
    <w:rsid w:val="26A3F28A"/>
    <w:rsid w:val="26A86ABC"/>
    <w:rsid w:val="26AD1B5B"/>
    <w:rsid w:val="26B48BC2"/>
    <w:rsid w:val="26C0BC4C"/>
    <w:rsid w:val="26E1E17B"/>
    <w:rsid w:val="26E5D2B5"/>
    <w:rsid w:val="26E88E8C"/>
    <w:rsid w:val="26E8FA90"/>
    <w:rsid w:val="26EDA4B7"/>
    <w:rsid w:val="26EE498A"/>
    <w:rsid w:val="2725AACD"/>
    <w:rsid w:val="27263F1A"/>
    <w:rsid w:val="272B8FB4"/>
    <w:rsid w:val="272D45DF"/>
    <w:rsid w:val="2737BB0A"/>
    <w:rsid w:val="2740C229"/>
    <w:rsid w:val="274BAFDC"/>
    <w:rsid w:val="2757BBD0"/>
    <w:rsid w:val="279C984D"/>
    <w:rsid w:val="27AF8F50"/>
    <w:rsid w:val="27B89547"/>
    <w:rsid w:val="27C2ADC5"/>
    <w:rsid w:val="27D79AD4"/>
    <w:rsid w:val="27D7DBB4"/>
    <w:rsid w:val="27EECCCB"/>
    <w:rsid w:val="2802F167"/>
    <w:rsid w:val="2809B4A0"/>
    <w:rsid w:val="282E8E4F"/>
    <w:rsid w:val="28365FE0"/>
    <w:rsid w:val="2857BED1"/>
    <w:rsid w:val="28593BFD"/>
    <w:rsid w:val="2860AE7E"/>
    <w:rsid w:val="2870F012"/>
    <w:rsid w:val="2873AC0B"/>
    <w:rsid w:val="28B6FF72"/>
    <w:rsid w:val="28BBB4BD"/>
    <w:rsid w:val="28DB78F1"/>
    <w:rsid w:val="291434A7"/>
    <w:rsid w:val="2918EC69"/>
    <w:rsid w:val="292D3278"/>
    <w:rsid w:val="293359C6"/>
    <w:rsid w:val="293E3672"/>
    <w:rsid w:val="29794488"/>
    <w:rsid w:val="29A369C8"/>
    <w:rsid w:val="29BF7212"/>
    <w:rsid w:val="29C8D36C"/>
    <w:rsid w:val="29E689C1"/>
    <w:rsid w:val="29F79212"/>
    <w:rsid w:val="29FC1E12"/>
    <w:rsid w:val="2A039AA3"/>
    <w:rsid w:val="2A07E28F"/>
    <w:rsid w:val="2A094D40"/>
    <w:rsid w:val="2A18116E"/>
    <w:rsid w:val="2A24781A"/>
    <w:rsid w:val="2A3C51FE"/>
    <w:rsid w:val="2A4DFD0D"/>
    <w:rsid w:val="2A5A4D64"/>
    <w:rsid w:val="2A6F0F66"/>
    <w:rsid w:val="2A87088D"/>
    <w:rsid w:val="2A8DE908"/>
    <w:rsid w:val="2AAA9B92"/>
    <w:rsid w:val="2AB01F4F"/>
    <w:rsid w:val="2ABE59F5"/>
    <w:rsid w:val="2ABE986A"/>
    <w:rsid w:val="2AC8F7C7"/>
    <w:rsid w:val="2ADD86BB"/>
    <w:rsid w:val="2AE9EE3F"/>
    <w:rsid w:val="2B1820E4"/>
    <w:rsid w:val="2B18EDC3"/>
    <w:rsid w:val="2B28C17B"/>
    <w:rsid w:val="2B2EA851"/>
    <w:rsid w:val="2B3793E6"/>
    <w:rsid w:val="2B390DCD"/>
    <w:rsid w:val="2B51B672"/>
    <w:rsid w:val="2B63A31D"/>
    <w:rsid w:val="2B9F4EDA"/>
    <w:rsid w:val="2BB1A6C1"/>
    <w:rsid w:val="2BC0487B"/>
    <w:rsid w:val="2BC2EF81"/>
    <w:rsid w:val="2BC4547D"/>
    <w:rsid w:val="2BD0E373"/>
    <w:rsid w:val="2BD5E2A4"/>
    <w:rsid w:val="2BDA1890"/>
    <w:rsid w:val="2BE1450E"/>
    <w:rsid w:val="2BED8DC3"/>
    <w:rsid w:val="2BF7CBA2"/>
    <w:rsid w:val="2C01198B"/>
    <w:rsid w:val="2C02FE82"/>
    <w:rsid w:val="2C081C7C"/>
    <w:rsid w:val="2C1F6B54"/>
    <w:rsid w:val="2C27DFD9"/>
    <w:rsid w:val="2C58F820"/>
    <w:rsid w:val="2C5B2714"/>
    <w:rsid w:val="2C5E24BE"/>
    <w:rsid w:val="2C60DDB5"/>
    <w:rsid w:val="2C93D413"/>
    <w:rsid w:val="2C94E07D"/>
    <w:rsid w:val="2C956B28"/>
    <w:rsid w:val="2CD2667B"/>
    <w:rsid w:val="2CD92416"/>
    <w:rsid w:val="2D00437A"/>
    <w:rsid w:val="2D00A22B"/>
    <w:rsid w:val="2D03C4B3"/>
    <w:rsid w:val="2D0C9FBB"/>
    <w:rsid w:val="2D1ED6AD"/>
    <w:rsid w:val="2D2822EE"/>
    <w:rsid w:val="2D44C24F"/>
    <w:rsid w:val="2D505DED"/>
    <w:rsid w:val="2D5333A6"/>
    <w:rsid w:val="2D7096A6"/>
    <w:rsid w:val="2D8FB199"/>
    <w:rsid w:val="2D9A43D8"/>
    <w:rsid w:val="2DA37519"/>
    <w:rsid w:val="2DAB2473"/>
    <w:rsid w:val="2DB8F88A"/>
    <w:rsid w:val="2DC1704C"/>
    <w:rsid w:val="2DD772D2"/>
    <w:rsid w:val="2DE8602F"/>
    <w:rsid w:val="2DF3A20D"/>
    <w:rsid w:val="2DF6C9F5"/>
    <w:rsid w:val="2E2831A2"/>
    <w:rsid w:val="2E2BA3C1"/>
    <w:rsid w:val="2E74F477"/>
    <w:rsid w:val="2E7D3F79"/>
    <w:rsid w:val="2E88B54F"/>
    <w:rsid w:val="2E9BCB93"/>
    <w:rsid w:val="2EA6F269"/>
    <w:rsid w:val="2EAC32E5"/>
    <w:rsid w:val="2EADD2E2"/>
    <w:rsid w:val="2EB18E04"/>
    <w:rsid w:val="2EBF2AB8"/>
    <w:rsid w:val="2EDFF0FD"/>
    <w:rsid w:val="2EE84F4F"/>
    <w:rsid w:val="2EF21500"/>
    <w:rsid w:val="2EF2A930"/>
    <w:rsid w:val="2EFCA87D"/>
    <w:rsid w:val="2F16700A"/>
    <w:rsid w:val="2F183FB4"/>
    <w:rsid w:val="2F1F364D"/>
    <w:rsid w:val="2F34A6E4"/>
    <w:rsid w:val="2F3BFFF1"/>
    <w:rsid w:val="2F408F51"/>
    <w:rsid w:val="2F4ABA75"/>
    <w:rsid w:val="2F652418"/>
    <w:rsid w:val="2F673EA1"/>
    <w:rsid w:val="2F963A6A"/>
    <w:rsid w:val="2F97CAE0"/>
    <w:rsid w:val="2F995806"/>
    <w:rsid w:val="2FB4A880"/>
    <w:rsid w:val="2FB808FA"/>
    <w:rsid w:val="2FC5A5DA"/>
    <w:rsid w:val="2FF4F851"/>
    <w:rsid w:val="2FFCDC71"/>
    <w:rsid w:val="3003A08F"/>
    <w:rsid w:val="3032A81C"/>
    <w:rsid w:val="305338DD"/>
    <w:rsid w:val="308C52D2"/>
    <w:rsid w:val="30975ADA"/>
    <w:rsid w:val="30DF79C6"/>
    <w:rsid w:val="30E6AA24"/>
    <w:rsid w:val="30F81B3D"/>
    <w:rsid w:val="30F826A4"/>
    <w:rsid w:val="3111A5BD"/>
    <w:rsid w:val="311831B5"/>
    <w:rsid w:val="311F10EE"/>
    <w:rsid w:val="31238746"/>
    <w:rsid w:val="315B731E"/>
    <w:rsid w:val="315C37ED"/>
    <w:rsid w:val="316954D8"/>
    <w:rsid w:val="3196269A"/>
    <w:rsid w:val="31D65E17"/>
    <w:rsid w:val="31D7E6B9"/>
    <w:rsid w:val="31E4D194"/>
    <w:rsid w:val="31E573A4"/>
    <w:rsid w:val="31F7E339"/>
    <w:rsid w:val="3208F5D7"/>
    <w:rsid w:val="3211BFBF"/>
    <w:rsid w:val="32168CDF"/>
    <w:rsid w:val="3223F7D4"/>
    <w:rsid w:val="322C62D3"/>
    <w:rsid w:val="323D416A"/>
    <w:rsid w:val="3248042D"/>
    <w:rsid w:val="3257135F"/>
    <w:rsid w:val="32584537"/>
    <w:rsid w:val="325E35A3"/>
    <w:rsid w:val="325E759A"/>
    <w:rsid w:val="326932DA"/>
    <w:rsid w:val="326D3340"/>
    <w:rsid w:val="32B6E3F1"/>
    <w:rsid w:val="32EA91F8"/>
    <w:rsid w:val="32F7265C"/>
    <w:rsid w:val="3301B11A"/>
    <w:rsid w:val="3318ECB5"/>
    <w:rsid w:val="334D6369"/>
    <w:rsid w:val="338FE48E"/>
    <w:rsid w:val="33A3D48E"/>
    <w:rsid w:val="33B04C2C"/>
    <w:rsid w:val="33CFF4BB"/>
    <w:rsid w:val="33E50FB6"/>
    <w:rsid w:val="33F0EFD3"/>
    <w:rsid w:val="3438C07B"/>
    <w:rsid w:val="343A26E4"/>
    <w:rsid w:val="343CB399"/>
    <w:rsid w:val="343D25F1"/>
    <w:rsid w:val="344D0C15"/>
    <w:rsid w:val="346E26A7"/>
    <w:rsid w:val="348B489A"/>
    <w:rsid w:val="348FBC32"/>
    <w:rsid w:val="34A68933"/>
    <w:rsid w:val="34B9D868"/>
    <w:rsid w:val="34C19522"/>
    <w:rsid w:val="34C23FC2"/>
    <w:rsid w:val="34C7B675"/>
    <w:rsid w:val="34D90D3B"/>
    <w:rsid w:val="34DFC25A"/>
    <w:rsid w:val="34ED6F01"/>
    <w:rsid w:val="352E784B"/>
    <w:rsid w:val="3532FAAB"/>
    <w:rsid w:val="3536CCB1"/>
    <w:rsid w:val="35485DF4"/>
    <w:rsid w:val="35544ED4"/>
    <w:rsid w:val="356ACF7B"/>
    <w:rsid w:val="3572D0C6"/>
    <w:rsid w:val="357A2F22"/>
    <w:rsid w:val="35A0A950"/>
    <w:rsid w:val="35CFC449"/>
    <w:rsid w:val="35DDFA3C"/>
    <w:rsid w:val="35F30AED"/>
    <w:rsid w:val="36004ABC"/>
    <w:rsid w:val="360722E1"/>
    <w:rsid w:val="360FFDB9"/>
    <w:rsid w:val="363C18D9"/>
    <w:rsid w:val="36419353"/>
    <w:rsid w:val="3650E3AF"/>
    <w:rsid w:val="3659894C"/>
    <w:rsid w:val="36757AB2"/>
    <w:rsid w:val="3684F9D9"/>
    <w:rsid w:val="369F00F4"/>
    <w:rsid w:val="36D7652A"/>
    <w:rsid w:val="36D92D7A"/>
    <w:rsid w:val="36E7ECEE"/>
    <w:rsid w:val="36F4CF8F"/>
    <w:rsid w:val="36FE15F5"/>
    <w:rsid w:val="3729A685"/>
    <w:rsid w:val="372FB5D1"/>
    <w:rsid w:val="37316216"/>
    <w:rsid w:val="373CB230"/>
    <w:rsid w:val="37425B1E"/>
    <w:rsid w:val="374A8A73"/>
    <w:rsid w:val="3761AEFF"/>
    <w:rsid w:val="37651DEB"/>
    <w:rsid w:val="3777F4A5"/>
    <w:rsid w:val="3782D8B6"/>
    <w:rsid w:val="379319E2"/>
    <w:rsid w:val="37A357F7"/>
    <w:rsid w:val="37B51C66"/>
    <w:rsid w:val="37B809F1"/>
    <w:rsid w:val="37C98A84"/>
    <w:rsid w:val="37CD75D5"/>
    <w:rsid w:val="37D25CC3"/>
    <w:rsid w:val="37F63C7E"/>
    <w:rsid w:val="37FD3E70"/>
    <w:rsid w:val="380F559A"/>
    <w:rsid w:val="381AF6A6"/>
    <w:rsid w:val="385770E1"/>
    <w:rsid w:val="3875D382"/>
    <w:rsid w:val="388AA9E4"/>
    <w:rsid w:val="389A82B7"/>
    <w:rsid w:val="38A71EC8"/>
    <w:rsid w:val="38A9408A"/>
    <w:rsid w:val="38B019CF"/>
    <w:rsid w:val="38B5AC15"/>
    <w:rsid w:val="38DBA303"/>
    <w:rsid w:val="38F2D9D5"/>
    <w:rsid w:val="390959BD"/>
    <w:rsid w:val="390ED7A9"/>
    <w:rsid w:val="39198EF5"/>
    <w:rsid w:val="392D72AC"/>
    <w:rsid w:val="3968477E"/>
    <w:rsid w:val="398EB93C"/>
    <w:rsid w:val="39BD595C"/>
    <w:rsid w:val="39CE9DCF"/>
    <w:rsid w:val="39D3A714"/>
    <w:rsid w:val="39E0F2C6"/>
    <w:rsid w:val="39FF2612"/>
    <w:rsid w:val="3A169973"/>
    <w:rsid w:val="3A2C513A"/>
    <w:rsid w:val="3A2C7051"/>
    <w:rsid w:val="3A2FF53B"/>
    <w:rsid w:val="3A464000"/>
    <w:rsid w:val="3A4A852F"/>
    <w:rsid w:val="3A51B43F"/>
    <w:rsid w:val="3A61903F"/>
    <w:rsid w:val="3A672FFF"/>
    <w:rsid w:val="3A781587"/>
    <w:rsid w:val="3A874578"/>
    <w:rsid w:val="3A8BAEDD"/>
    <w:rsid w:val="3A8CC8DB"/>
    <w:rsid w:val="3A9242AF"/>
    <w:rsid w:val="3A99E208"/>
    <w:rsid w:val="3AA0B599"/>
    <w:rsid w:val="3AB6A1DE"/>
    <w:rsid w:val="3ADA1BED"/>
    <w:rsid w:val="3B0DA67E"/>
    <w:rsid w:val="3B1C9C38"/>
    <w:rsid w:val="3B3D19A8"/>
    <w:rsid w:val="3B61263E"/>
    <w:rsid w:val="3B6887E3"/>
    <w:rsid w:val="3B6A7596"/>
    <w:rsid w:val="3B71F0CA"/>
    <w:rsid w:val="3B7675A0"/>
    <w:rsid w:val="3BB49269"/>
    <w:rsid w:val="3BB82048"/>
    <w:rsid w:val="3BC93D70"/>
    <w:rsid w:val="3BCBC59C"/>
    <w:rsid w:val="3BD56F2F"/>
    <w:rsid w:val="3BF29F2A"/>
    <w:rsid w:val="3BF9DB86"/>
    <w:rsid w:val="3C0646C5"/>
    <w:rsid w:val="3C1CE768"/>
    <w:rsid w:val="3C1FF329"/>
    <w:rsid w:val="3C24C807"/>
    <w:rsid w:val="3C2EF98B"/>
    <w:rsid w:val="3C714ADE"/>
    <w:rsid w:val="3C8AABFF"/>
    <w:rsid w:val="3CA62CC7"/>
    <w:rsid w:val="3CAB72A8"/>
    <w:rsid w:val="3CBF6967"/>
    <w:rsid w:val="3D03F34A"/>
    <w:rsid w:val="3D13EB84"/>
    <w:rsid w:val="3D1725F6"/>
    <w:rsid w:val="3D2261B3"/>
    <w:rsid w:val="3D25E742"/>
    <w:rsid w:val="3D32013D"/>
    <w:rsid w:val="3D3511D8"/>
    <w:rsid w:val="3D41DE96"/>
    <w:rsid w:val="3D4614A4"/>
    <w:rsid w:val="3D4E012F"/>
    <w:rsid w:val="3D4E5BEF"/>
    <w:rsid w:val="3D52B5E0"/>
    <w:rsid w:val="3D5881E3"/>
    <w:rsid w:val="3D64D045"/>
    <w:rsid w:val="3D65063A"/>
    <w:rsid w:val="3D69F60C"/>
    <w:rsid w:val="3D7EC084"/>
    <w:rsid w:val="3D81CE14"/>
    <w:rsid w:val="3D920234"/>
    <w:rsid w:val="3DB8AD40"/>
    <w:rsid w:val="3DCB769E"/>
    <w:rsid w:val="3DCEF505"/>
    <w:rsid w:val="3DD029C7"/>
    <w:rsid w:val="3DEEB8EB"/>
    <w:rsid w:val="3E009B13"/>
    <w:rsid w:val="3E1EE75A"/>
    <w:rsid w:val="3E1F8E19"/>
    <w:rsid w:val="3E24C9A1"/>
    <w:rsid w:val="3E2EEE4F"/>
    <w:rsid w:val="3E4C8F94"/>
    <w:rsid w:val="3E757503"/>
    <w:rsid w:val="3E7E32A4"/>
    <w:rsid w:val="3E812BAC"/>
    <w:rsid w:val="3E84A4DB"/>
    <w:rsid w:val="3E886E19"/>
    <w:rsid w:val="3E8C44CC"/>
    <w:rsid w:val="3E94668D"/>
    <w:rsid w:val="3E9B0120"/>
    <w:rsid w:val="3EC5CE80"/>
    <w:rsid w:val="3ECC38B4"/>
    <w:rsid w:val="3ED3A215"/>
    <w:rsid w:val="3EE664D0"/>
    <w:rsid w:val="3EFE2077"/>
    <w:rsid w:val="3F00DE32"/>
    <w:rsid w:val="3F1EA7FF"/>
    <w:rsid w:val="3F2BA262"/>
    <w:rsid w:val="3F2F239B"/>
    <w:rsid w:val="3F4F9F42"/>
    <w:rsid w:val="3F8361D7"/>
    <w:rsid w:val="3F860317"/>
    <w:rsid w:val="3F9F0B61"/>
    <w:rsid w:val="3FA52719"/>
    <w:rsid w:val="3FC24CED"/>
    <w:rsid w:val="3FD8B4F5"/>
    <w:rsid w:val="3FDF4216"/>
    <w:rsid w:val="3FEAC2DC"/>
    <w:rsid w:val="3FFC9E3A"/>
    <w:rsid w:val="400CC677"/>
    <w:rsid w:val="400EC4A6"/>
    <w:rsid w:val="40221E67"/>
    <w:rsid w:val="402D9B51"/>
    <w:rsid w:val="402F928B"/>
    <w:rsid w:val="4057958F"/>
    <w:rsid w:val="4072F485"/>
    <w:rsid w:val="4097BD61"/>
    <w:rsid w:val="40A465FF"/>
    <w:rsid w:val="40C350F0"/>
    <w:rsid w:val="40E09F1F"/>
    <w:rsid w:val="40F14A21"/>
    <w:rsid w:val="41088C1C"/>
    <w:rsid w:val="4112A589"/>
    <w:rsid w:val="412C23D5"/>
    <w:rsid w:val="412EFAAF"/>
    <w:rsid w:val="4138D29B"/>
    <w:rsid w:val="414350B7"/>
    <w:rsid w:val="414B5882"/>
    <w:rsid w:val="415E3E7B"/>
    <w:rsid w:val="41695FCC"/>
    <w:rsid w:val="416DBE6F"/>
    <w:rsid w:val="4172C9CC"/>
    <w:rsid w:val="41735434"/>
    <w:rsid w:val="41803170"/>
    <w:rsid w:val="418C19D9"/>
    <w:rsid w:val="41943866"/>
    <w:rsid w:val="41CFB984"/>
    <w:rsid w:val="41D1B1C3"/>
    <w:rsid w:val="41D993B9"/>
    <w:rsid w:val="41E55938"/>
    <w:rsid w:val="41F4B6F5"/>
    <w:rsid w:val="41FF8C4A"/>
    <w:rsid w:val="4210D526"/>
    <w:rsid w:val="42115DCD"/>
    <w:rsid w:val="42120C35"/>
    <w:rsid w:val="421FC484"/>
    <w:rsid w:val="4223514E"/>
    <w:rsid w:val="42343EC8"/>
    <w:rsid w:val="42425CB7"/>
    <w:rsid w:val="42558A0A"/>
    <w:rsid w:val="425C8D4E"/>
    <w:rsid w:val="426D1041"/>
    <w:rsid w:val="4274E7C6"/>
    <w:rsid w:val="427F56A4"/>
    <w:rsid w:val="428F42D7"/>
    <w:rsid w:val="429A920D"/>
    <w:rsid w:val="429CD9AC"/>
    <w:rsid w:val="42A304D1"/>
    <w:rsid w:val="42A3F6A6"/>
    <w:rsid w:val="42E1D23A"/>
    <w:rsid w:val="42E67170"/>
    <w:rsid w:val="42E9AD3B"/>
    <w:rsid w:val="42F42D53"/>
    <w:rsid w:val="42F833B4"/>
    <w:rsid w:val="43156E4B"/>
    <w:rsid w:val="431853B8"/>
    <w:rsid w:val="43189CE0"/>
    <w:rsid w:val="431D5C6B"/>
    <w:rsid w:val="43323E17"/>
    <w:rsid w:val="435B8D1A"/>
    <w:rsid w:val="436AA392"/>
    <w:rsid w:val="4396749B"/>
    <w:rsid w:val="43A49249"/>
    <w:rsid w:val="43B2985D"/>
    <w:rsid w:val="43B6304F"/>
    <w:rsid w:val="43BFEFD0"/>
    <w:rsid w:val="43C54D76"/>
    <w:rsid w:val="43DD8BEB"/>
    <w:rsid w:val="43E14DC3"/>
    <w:rsid w:val="43F5EBC2"/>
    <w:rsid w:val="43FD0EFF"/>
    <w:rsid w:val="441A9F80"/>
    <w:rsid w:val="442DA38D"/>
    <w:rsid w:val="4437C76A"/>
    <w:rsid w:val="443833DE"/>
    <w:rsid w:val="443B2DCD"/>
    <w:rsid w:val="443F923C"/>
    <w:rsid w:val="444A3C0C"/>
    <w:rsid w:val="444CC97B"/>
    <w:rsid w:val="445EEF04"/>
    <w:rsid w:val="44720265"/>
    <w:rsid w:val="4491A0B5"/>
    <w:rsid w:val="44A194F2"/>
    <w:rsid w:val="44B3BE2B"/>
    <w:rsid w:val="44B5324A"/>
    <w:rsid w:val="44C5A72F"/>
    <w:rsid w:val="44C78B37"/>
    <w:rsid w:val="44D59E61"/>
    <w:rsid w:val="4517F72B"/>
    <w:rsid w:val="4532CF18"/>
    <w:rsid w:val="4541023F"/>
    <w:rsid w:val="45530FA6"/>
    <w:rsid w:val="45532387"/>
    <w:rsid w:val="4555079E"/>
    <w:rsid w:val="4574C126"/>
    <w:rsid w:val="45A56E27"/>
    <w:rsid w:val="45B5B4A9"/>
    <w:rsid w:val="45D080BA"/>
    <w:rsid w:val="45D397CB"/>
    <w:rsid w:val="45E934C3"/>
    <w:rsid w:val="45F2BB31"/>
    <w:rsid w:val="460472B4"/>
    <w:rsid w:val="4606F24D"/>
    <w:rsid w:val="460892F0"/>
    <w:rsid w:val="460BBD7D"/>
    <w:rsid w:val="460C9603"/>
    <w:rsid w:val="4620D92F"/>
    <w:rsid w:val="4624BE9D"/>
    <w:rsid w:val="46283C11"/>
    <w:rsid w:val="462BCE15"/>
    <w:rsid w:val="4633168E"/>
    <w:rsid w:val="464264E4"/>
    <w:rsid w:val="464D0F0D"/>
    <w:rsid w:val="4670A11F"/>
    <w:rsid w:val="467CFE40"/>
    <w:rsid w:val="468392BF"/>
    <w:rsid w:val="4683FF33"/>
    <w:rsid w:val="46AE5621"/>
    <w:rsid w:val="46BB68F0"/>
    <w:rsid w:val="46C1E3CB"/>
    <w:rsid w:val="46C35430"/>
    <w:rsid w:val="46C595C1"/>
    <w:rsid w:val="46C5C797"/>
    <w:rsid w:val="46C64266"/>
    <w:rsid w:val="46C76354"/>
    <w:rsid w:val="46C78BCB"/>
    <w:rsid w:val="46F4FFAF"/>
    <w:rsid w:val="4700300A"/>
    <w:rsid w:val="47021D57"/>
    <w:rsid w:val="47095DC0"/>
    <w:rsid w:val="4713D3FB"/>
    <w:rsid w:val="471B5F55"/>
    <w:rsid w:val="476643DB"/>
    <w:rsid w:val="47867462"/>
    <w:rsid w:val="47968FC6"/>
    <w:rsid w:val="47A359EF"/>
    <w:rsid w:val="47A3E4AC"/>
    <w:rsid w:val="47BA9A06"/>
    <w:rsid w:val="47C79E76"/>
    <w:rsid w:val="47DC0795"/>
    <w:rsid w:val="47EF697F"/>
    <w:rsid w:val="48270E48"/>
    <w:rsid w:val="4831D7C2"/>
    <w:rsid w:val="4832B78D"/>
    <w:rsid w:val="48623EDB"/>
    <w:rsid w:val="487F2A8A"/>
    <w:rsid w:val="48DE2C3D"/>
    <w:rsid w:val="48E504E4"/>
    <w:rsid w:val="48E96780"/>
    <w:rsid w:val="48EE9828"/>
    <w:rsid w:val="48F26ECE"/>
    <w:rsid w:val="4905D782"/>
    <w:rsid w:val="4939FF45"/>
    <w:rsid w:val="493B7C58"/>
    <w:rsid w:val="49457388"/>
    <w:rsid w:val="4981DDE1"/>
    <w:rsid w:val="498D09DD"/>
    <w:rsid w:val="499FFA85"/>
    <w:rsid w:val="4A0C2DC0"/>
    <w:rsid w:val="4A1B0FDB"/>
    <w:rsid w:val="4A76EA5B"/>
    <w:rsid w:val="4A79A047"/>
    <w:rsid w:val="4A93A619"/>
    <w:rsid w:val="4AA60FE0"/>
    <w:rsid w:val="4AD39CA3"/>
    <w:rsid w:val="4AD71C0D"/>
    <w:rsid w:val="4AE4EE5B"/>
    <w:rsid w:val="4AF88A60"/>
    <w:rsid w:val="4AFAFC34"/>
    <w:rsid w:val="4B122550"/>
    <w:rsid w:val="4B27EB0B"/>
    <w:rsid w:val="4B3ACFAE"/>
    <w:rsid w:val="4B3BF53C"/>
    <w:rsid w:val="4B42029B"/>
    <w:rsid w:val="4B6A9EE7"/>
    <w:rsid w:val="4B72E952"/>
    <w:rsid w:val="4B740058"/>
    <w:rsid w:val="4B78FCF5"/>
    <w:rsid w:val="4B7F470C"/>
    <w:rsid w:val="4B81D047"/>
    <w:rsid w:val="4B83010F"/>
    <w:rsid w:val="4B8AE055"/>
    <w:rsid w:val="4B97C00A"/>
    <w:rsid w:val="4B99B389"/>
    <w:rsid w:val="4BABA21B"/>
    <w:rsid w:val="4BD4D68B"/>
    <w:rsid w:val="4BEBB0ED"/>
    <w:rsid w:val="4BFCA4A2"/>
    <w:rsid w:val="4C0820E4"/>
    <w:rsid w:val="4C130CC0"/>
    <w:rsid w:val="4C1CF88C"/>
    <w:rsid w:val="4C35446A"/>
    <w:rsid w:val="4C71CE5F"/>
    <w:rsid w:val="4C76C92E"/>
    <w:rsid w:val="4C7C5050"/>
    <w:rsid w:val="4C8C9FC6"/>
    <w:rsid w:val="4CA319D6"/>
    <w:rsid w:val="4CA33330"/>
    <w:rsid w:val="4CB14474"/>
    <w:rsid w:val="4CB37FEA"/>
    <w:rsid w:val="4CB790B7"/>
    <w:rsid w:val="4CD4E99A"/>
    <w:rsid w:val="4CF2F5FC"/>
    <w:rsid w:val="4CFC85E7"/>
    <w:rsid w:val="4D06EE84"/>
    <w:rsid w:val="4D0AF088"/>
    <w:rsid w:val="4D2420BE"/>
    <w:rsid w:val="4D36A4D8"/>
    <w:rsid w:val="4D390566"/>
    <w:rsid w:val="4D46C783"/>
    <w:rsid w:val="4D4DD0EB"/>
    <w:rsid w:val="4D62093E"/>
    <w:rsid w:val="4D764EB6"/>
    <w:rsid w:val="4D7BC1CC"/>
    <w:rsid w:val="4D82A879"/>
    <w:rsid w:val="4D864300"/>
    <w:rsid w:val="4D871791"/>
    <w:rsid w:val="4D8EFDA1"/>
    <w:rsid w:val="4D9D42A2"/>
    <w:rsid w:val="4DB9843C"/>
    <w:rsid w:val="4DE71A95"/>
    <w:rsid w:val="4E05002F"/>
    <w:rsid w:val="4E0AA6DD"/>
    <w:rsid w:val="4E2AD723"/>
    <w:rsid w:val="4E399C37"/>
    <w:rsid w:val="4E3A2ACE"/>
    <w:rsid w:val="4E4C79AF"/>
    <w:rsid w:val="4E75E8BB"/>
    <w:rsid w:val="4E7894D2"/>
    <w:rsid w:val="4E9BAF4C"/>
    <w:rsid w:val="4EAA8A57"/>
    <w:rsid w:val="4EC51DCF"/>
    <w:rsid w:val="4EC9E263"/>
    <w:rsid w:val="4ED0CC86"/>
    <w:rsid w:val="4ED3072C"/>
    <w:rsid w:val="4EDE01EE"/>
    <w:rsid w:val="4F041C8E"/>
    <w:rsid w:val="4F0A69E7"/>
    <w:rsid w:val="4F31EB66"/>
    <w:rsid w:val="4F4BC81C"/>
    <w:rsid w:val="4F55AC08"/>
    <w:rsid w:val="4F6C88E9"/>
    <w:rsid w:val="4F7E1FBB"/>
    <w:rsid w:val="4F81A76E"/>
    <w:rsid w:val="4F8A5E9B"/>
    <w:rsid w:val="4F9C8C09"/>
    <w:rsid w:val="4FA994B5"/>
    <w:rsid w:val="4FADD493"/>
    <w:rsid w:val="4FAEC9AB"/>
    <w:rsid w:val="4FAF9A00"/>
    <w:rsid w:val="4FB065E6"/>
    <w:rsid w:val="4FBEBEE4"/>
    <w:rsid w:val="4FF92E2C"/>
    <w:rsid w:val="501AFE4C"/>
    <w:rsid w:val="502806A1"/>
    <w:rsid w:val="502DD566"/>
    <w:rsid w:val="50371F2D"/>
    <w:rsid w:val="503C7E8B"/>
    <w:rsid w:val="5040A814"/>
    <w:rsid w:val="504AED01"/>
    <w:rsid w:val="504E483E"/>
    <w:rsid w:val="50538047"/>
    <w:rsid w:val="50541084"/>
    <w:rsid w:val="50653FE7"/>
    <w:rsid w:val="50699D96"/>
    <w:rsid w:val="507628DF"/>
    <w:rsid w:val="509717A9"/>
    <w:rsid w:val="50C2F017"/>
    <w:rsid w:val="50C5B9FB"/>
    <w:rsid w:val="50C92017"/>
    <w:rsid w:val="50CAE3A8"/>
    <w:rsid w:val="50E7B57E"/>
    <w:rsid w:val="50EC28F8"/>
    <w:rsid w:val="50F01C1F"/>
    <w:rsid w:val="50F27101"/>
    <w:rsid w:val="5101492B"/>
    <w:rsid w:val="5108D60E"/>
    <w:rsid w:val="511A9074"/>
    <w:rsid w:val="5120E008"/>
    <w:rsid w:val="5133296B"/>
    <w:rsid w:val="51384808"/>
    <w:rsid w:val="513E308B"/>
    <w:rsid w:val="5149F02A"/>
    <w:rsid w:val="5156870C"/>
    <w:rsid w:val="5167AAD4"/>
    <w:rsid w:val="51698CAB"/>
    <w:rsid w:val="517B409D"/>
    <w:rsid w:val="51B38C28"/>
    <w:rsid w:val="51B6CEAD"/>
    <w:rsid w:val="51C18AA1"/>
    <w:rsid w:val="51D841D3"/>
    <w:rsid w:val="51D8BBDF"/>
    <w:rsid w:val="51ED6D00"/>
    <w:rsid w:val="520A1EE8"/>
    <w:rsid w:val="5221F5BA"/>
    <w:rsid w:val="522C757B"/>
    <w:rsid w:val="5232F2E1"/>
    <w:rsid w:val="5250DFD7"/>
    <w:rsid w:val="52606B88"/>
    <w:rsid w:val="5260E42D"/>
    <w:rsid w:val="527311B3"/>
    <w:rsid w:val="52789C7B"/>
    <w:rsid w:val="52857420"/>
    <w:rsid w:val="528DABA6"/>
    <w:rsid w:val="52AB98DD"/>
    <w:rsid w:val="52AE78C6"/>
    <w:rsid w:val="52B63B56"/>
    <w:rsid w:val="52C31DC6"/>
    <w:rsid w:val="52D41869"/>
    <w:rsid w:val="52D6305E"/>
    <w:rsid w:val="52D7D8CE"/>
    <w:rsid w:val="52D9F820"/>
    <w:rsid w:val="52EFC865"/>
    <w:rsid w:val="5326D23B"/>
    <w:rsid w:val="532E258F"/>
    <w:rsid w:val="53324E42"/>
    <w:rsid w:val="53A6784F"/>
    <w:rsid w:val="53C5CDE9"/>
    <w:rsid w:val="53D0A272"/>
    <w:rsid w:val="53E11133"/>
    <w:rsid w:val="53EFB6C4"/>
    <w:rsid w:val="53F70215"/>
    <w:rsid w:val="5413D1F2"/>
    <w:rsid w:val="5431C6B0"/>
    <w:rsid w:val="54567343"/>
    <w:rsid w:val="5467A690"/>
    <w:rsid w:val="546E425C"/>
    <w:rsid w:val="547129DC"/>
    <w:rsid w:val="5488B61D"/>
    <w:rsid w:val="54AE94E8"/>
    <w:rsid w:val="54C2A29C"/>
    <w:rsid w:val="54C9AF25"/>
    <w:rsid w:val="54D22109"/>
    <w:rsid w:val="54DA9F90"/>
    <w:rsid w:val="54E717F6"/>
    <w:rsid w:val="54EFBD8D"/>
    <w:rsid w:val="54F5D1D4"/>
    <w:rsid w:val="54F8AF75"/>
    <w:rsid w:val="54FF42B8"/>
    <w:rsid w:val="550BE565"/>
    <w:rsid w:val="550E6564"/>
    <w:rsid w:val="55136E44"/>
    <w:rsid w:val="5514A1D7"/>
    <w:rsid w:val="551CF01F"/>
    <w:rsid w:val="552720CE"/>
    <w:rsid w:val="5528EC4B"/>
    <w:rsid w:val="553E9716"/>
    <w:rsid w:val="554290CA"/>
    <w:rsid w:val="555BA9A1"/>
    <w:rsid w:val="555C3804"/>
    <w:rsid w:val="5562D69B"/>
    <w:rsid w:val="557D5251"/>
    <w:rsid w:val="5589CF1E"/>
    <w:rsid w:val="55AAF149"/>
    <w:rsid w:val="55BA63C4"/>
    <w:rsid w:val="55CB3811"/>
    <w:rsid w:val="55EE1B83"/>
    <w:rsid w:val="560F9EF7"/>
    <w:rsid w:val="56122788"/>
    <w:rsid w:val="56158D19"/>
    <w:rsid w:val="561BC512"/>
    <w:rsid w:val="561C5153"/>
    <w:rsid w:val="5620C3D5"/>
    <w:rsid w:val="563EF6C1"/>
    <w:rsid w:val="564625BC"/>
    <w:rsid w:val="56518B76"/>
    <w:rsid w:val="565EBC05"/>
    <w:rsid w:val="5671B1A5"/>
    <w:rsid w:val="567D9A3F"/>
    <w:rsid w:val="56896A78"/>
    <w:rsid w:val="5697434C"/>
    <w:rsid w:val="56A4A79E"/>
    <w:rsid w:val="56B132BD"/>
    <w:rsid w:val="56B79DC5"/>
    <w:rsid w:val="56C45EC1"/>
    <w:rsid w:val="56C569AE"/>
    <w:rsid w:val="56DE612B"/>
    <w:rsid w:val="56EC303C"/>
    <w:rsid w:val="56EC3D15"/>
    <w:rsid w:val="56F77A02"/>
    <w:rsid w:val="570014CA"/>
    <w:rsid w:val="5721AC99"/>
    <w:rsid w:val="5735E75D"/>
    <w:rsid w:val="573CE6C5"/>
    <w:rsid w:val="574515D9"/>
    <w:rsid w:val="575FC0B4"/>
    <w:rsid w:val="5767E7A5"/>
    <w:rsid w:val="57919850"/>
    <w:rsid w:val="57B52574"/>
    <w:rsid w:val="57BD5883"/>
    <w:rsid w:val="57BF5349"/>
    <w:rsid w:val="57C49DCE"/>
    <w:rsid w:val="5830661D"/>
    <w:rsid w:val="58514501"/>
    <w:rsid w:val="58545A7F"/>
    <w:rsid w:val="585EC190"/>
    <w:rsid w:val="586C0015"/>
    <w:rsid w:val="587637D8"/>
    <w:rsid w:val="589D710F"/>
    <w:rsid w:val="589ECA0C"/>
    <w:rsid w:val="58B2541A"/>
    <w:rsid w:val="58B2600C"/>
    <w:rsid w:val="58C63CAE"/>
    <w:rsid w:val="58D6D0D6"/>
    <w:rsid w:val="590109EA"/>
    <w:rsid w:val="59024D3E"/>
    <w:rsid w:val="591833F6"/>
    <w:rsid w:val="5928A5DF"/>
    <w:rsid w:val="593D6262"/>
    <w:rsid w:val="593DF067"/>
    <w:rsid w:val="5956CDF1"/>
    <w:rsid w:val="59588B51"/>
    <w:rsid w:val="596606F9"/>
    <w:rsid w:val="5971771C"/>
    <w:rsid w:val="5980B52B"/>
    <w:rsid w:val="59A345E5"/>
    <w:rsid w:val="59C13E82"/>
    <w:rsid w:val="59CF5BFF"/>
    <w:rsid w:val="59E6EC5A"/>
    <w:rsid w:val="59EC1E47"/>
    <w:rsid w:val="59F964F5"/>
    <w:rsid w:val="5A02522E"/>
    <w:rsid w:val="5A06773A"/>
    <w:rsid w:val="5A1AEC2D"/>
    <w:rsid w:val="5A1FB4E0"/>
    <w:rsid w:val="5A2E1614"/>
    <w:rsid w:val="5A3FC917"/>
    <w:rsid w:val="5A542D37"/>
    <w:rsid w:val="5A595930"/>
    <w:rsid w:val="5A5DDC98"/>
    <w:rsid w:val="5A83E768"/>
    <w:rsid w:val="5A88ABA1"/>
    <w:rsid w:val="5AA0A878"/>
    <w:rsid w:val="5AA8E60A"/>
    <w:rsid w:val="5AD7900A"/>
    <w:rsid w:val="5AE47C21"/>
    <w:rsid w:val="5B194B49"/>
    <w:rsid w:val="5B300938"/>
    <w:rsid w:val="5B3D1994"/>
    <w:rsid w:val="5B496B94"/>
    <w:rsid w:val="5B508E32"/>
    <w:rsid w:val="5B5C94C2"/>
    <w:rsid w:val="5B634B0A"/>
    <w:rsid w:val="5B647DF4"/>
    <w:rsid w:val="5B76B529"/>
    <w:rsid w:val="5B9337D0"/>
    <w:rsid w:val="5BB2FD9C"/>
    <w:rsid w:val="5BC24FD9"/>
    <w:rsid w:val="5BCB0D50"/>
    <w:rsid w:val="5BCD3D8B"/>
    <w:rsid w:val="5C03180F"/>
    <w:rsid w:val="5C0A2EB2"/>
    <w:rsid w:val="5C404DE5"/>
    <w:rsid w:val="5C68E2F4"/>
    <w:rsid w:val="5C9135B0"/>
    <w:rsid w:val="5C99E6AC"/>
    <w:rsid w:val="5CAC8FC1"/>
    <w:rsid w:val="5CB198B0"/>
    <w:rsid w:val="5CBBE747"/>
    <w:rsid w:val="5CC2D165"/>
    <w:rsid w:val="5CD8E9F5"/>
    <w:rsid w:val="5CFB7239"/>
    <w:rsid w:val="5CFB81E3"/>
    <w:rsid w:val="5D00EF49"/>
    <w:rsid w:val="5D04D2CD"/>
    <w:rsid w:val="5D1A3D7C"/>
    <w:rsid w:val="5D1AD8D7"/>
    <w:rsid w:val="5D347A52"/>
    <w:rsid w:val="5D42A3EB"/>
    <w:rsid w:val="5D4DA2AF"/>
    <w:rsid w:val="5D5387D2"/>
    <w:rsid w:val="5D5FA8BC"/>
    <w:rsid w:val="5D709345"/>
    <w:rsid w:val="5D738A1B"/>
    <w:rsid w:val="5D76402B"/>
    <w:rsid w:val="5D85CC33"/>
    <w:rsid w:val="5D996504"/>
    <w:rsid w:val="5DA446EE"/>
    <w:rsid w:val="5DB58E88"/>
    <w:rsid w:val="5DE2BD12"/>
    <w:rsid w:val="5DEEC1A8"/>
    <w:rsid w:val="5E106BFA"/>
    <w:rsid w:val="5E12CA5F"/>
    <w:rsid w:val="5E1E47BD"/>
    <w:rsid w:val="5E44E83F"/>
    <w:rsid w:val="5E510CEA"/>
    <w:rsid w:val="5E5FB8E6"/>
    <w:rsid w:val="5E7713D1"/>
    <w:rsid w:val="5E78F751"/>
    <w:rsid w:val="5EF68382"/>
    <w:rsid w:val="5F29DEA3"/>
    <w:rsid w:val="5F2A3196"/>
    <w:rsid w:val="5F324D6C"/>
    <w:rsid w:val="5F3429B9"/>
    <w:rsid w:val="5F41D6A6"/>
    <w:rsid w:val="5F44FFF3"/>
    <w:rsid w:val="5F4D4B7F"/>
    <w:rsid w:val="5F636CD8"/>
    <w:rsid w:val="5F6A61BD"/>
    <w:rsid w:val="5F86F0AD"/>
    <w:rsid w:val="5F8C98F3"/>
    <w:rsid w:val="5FB974DE"/>
    <w:rsid w:val="5FFB5916"/>
    <w:rsid w:val="60022E15"/>
    <w:rsid w:val="600353F7"/>
    <w:rsid w:val="6012C5E2"/>
    <w:rsid w:val="602CFA7E"/>
    <w:rsid w:val="605252A6"/>
    <w:rsid w:val="605CE54B"/>
    <w:rsid w:val="6065D766"/>
    <w:rsid w:val="60669903"/>
    <w:rsid w:val="60898A73"/>
    <w:rsid w:val="60A49344"/>
    <w:rsid w:val="60AB0B86"/>
    <w:rsid w:val="60C5AFAF"/>
    <w:rsid w:val="60D61E65"/>
    <w:rsid w:val="60D85414"/>
    <w:rsid w:val="61263327"/>
    <w:rsid w:val="612A297A"/>
    <w:rsid w:val="615CA6D6"/>
    <w:rsid w:val="61790664"/>
    <w:rsid w:val="61921F3B"/>
    <w:rsid w:val="61A10226"/>
    <w:rsid w:val="61B01855"/>
    <w:rsid w:val="61BC8C8F"/>
    <w:rsid w:val="61CC5067"/>
    <w:rsid w:val="62003C69"/>
    <w:rsid w:val="620793C4"/>
    <w:rsid w:val="622819AF"/>
    <w:rsid w:val="623157F6"/>
    <w:rsid w:val="624489D2"/>
    <w:rsid w:val="62533645"/>
    <w:rsid w:val="6259D4B6"/>
    <w:rsid w:val="628851D1"/>
    <w:rsid w:val="628C4B98"/>
    <w:rsid w:val="62AE6EC4"/>
    <w:rsid w:val="62C45835"/>
    <w:rsid w:val="62E90D43"/>
    <w:rsid w:val="62F33B6D"/>
    <w:rsid w:val="62FED2ED"/>
    <w:rsid w:val="6313F422"/>
    <w:rsid w:val="6323FF08"/>
    <w:rsid w:val="6348196B"/>
    <w:rsid w:val="636820C8"/>
    <w:rsid w:val="63741C40"/>
    <w:rsid w:val="639EAF21"/>
    <w:rsid w:val="63A120C5"/>
    <w:rsid w:val="63A54477"/>
    <w:rsid w:val="63AACF4F"/>
    <w:rsid w:val="63B23C5C"/>
    <w:rsid w:val="63BF2713"/>
    <w:rsid w:val="63C0DB9E"/>
    <w:rsid w:val="63E88D7D"/>
    <w:rsid w:val="64047055"/>
    <w:rsid w:val="640C1C55"/>
    <w:rsid w:val="6421B28F"/>
    <w:rsid w:val="642BC4E4"/>
    <w:rsid w:val="64306DA2"/>
    <w:rsid w:val="6433D144"/>
    <w:rsid w:val="6455E998"/>
    <w:rsid w:val="646B0F04"/>
    <w:rsid w:val="646F945B"/>
    <w:rsid w:val="647A6109"/>
    <w:rsid w:val="6498BB65"/>
    <w:rsid w:val="64C38609"/>
    <w:rsid w:val="64D2C8C6"/>
    <w:rsid w:val="64E71775"/>
    <w:rsid w:val="6507E3B5"/>
    <w:rsid w:val="651E1310"/>
    <w:rsid w:val="65222AE5"/>
    <w:rsid w:val="653F8C37"/>
    <w:rsid w:val="65461F8F"/>
    <w:rsid w:val="654A328F"/>
    <w:rsid w:val="655B16FE"/>
    <w:rsid w:val="6561051B"/>
    <w:rsid w:val="65630EAE"/>
    <w:rsid w:val="6565A6E2"/>
    <w:rsid w:val="656B92C7"/>
    <w:rsid w:val="6579BAF1"/>
    <w:rsid w:val="657D77E1"/>
    <w:rsid w:val="657E62E3"/>
    <w:rsid w:val="658AA414"/>
    <w:rsid w:val="65A3DB0C"/>
    <w:rsid w:val="65AD3D7A"/>
    <w:rsid w:val="65BD82F0"/>
    <w:rsid w:val="65D20E55"/>
    <w:rsid w:val="65DCF3E2"/>
    <w:rsid w:val="65E2B2CD"/>
    <w:rsid w:val="65EA3505"/>
    <w:rsid w:val="65F402C5"/>
    <w:rsid w:val="65FB66DF"/>
    <w:rsid w:val="660ABD9E"/>
    <w:rsid w:val="66106E04"/>
    <w:rsid w:val="661B4242"/>
    <w:rsid w:val="6637C310"/>
    <w:rsid w:val="663BF22E"/>
    <w:rsid w:val="6644E129"/>
    <w:rsid w:val="66555CCA"/>
    <w:rsid w:val="6657E7AA"/>
    <w:rsid w:val="66739ADD"/>
    <w:rsid w:val="667ED7E9"/>
    <w:rsid w:val="6684B44F"/>
    <w:rsid w:val="6686992D"/>
    <w:rsid w:val="66A1995E"/>
    <w:rsid w:val="66B3301C"/>
    <w:rsid w:val="66BA852F"/>
    <w:rsid w:val="66CB9D6E"/>
    <w:rsid w:val="66E1027F"/>
    <w:rsid w:val="6701F842"/>
    <w:rsid w:val="670F3F19"/>
    <w:rsid w:val="67240E5D"/>
    <w:rsid w:val="67265CB5"/>
    <w:rsid w:val="675C4B45"/>
    <w:rsid w:val="675F0475"/>
    <w:rsid w:val="6783756C"/>
    <w:rsid w:val="6784BA89"/>
    <w:rsid w:val="679BEDF5"/>
    <w:rsid w:val="67A994A4"/>
    <w:rsid w:val="67BC7E66"/>
    <w:rsid w:val="67CB548B"/>
    <w:rsid w:val="67DEFE6D"/>
    <w:rsid w:val="67F9A9E4"/>
    <w:rsid w:val="681685AC"/>
    <w:rsid w:val="681AE674"/>
    <w:rsid w:val="684348EC"/>
    <w:rsid w:val="6847CDAF"/>
    <w:rsid w:val="68653C42"/>
    <w:rsid w:val="68870390"/>
    <w:rsid w:val="688855B6"/>
    <w:rsid w:val="68A7E582"/>
    <w:rsid w:val="68A7FC11"/>
    <w:rsid w:val="68AF488E"/>
    <w:rsid w:val="68CCB8BC"/>
    <w:rsid w:val="68D0E6DA"/>
    <w:rsid w:val="68DA0FE0"/>
    <w:rsid w:val="68F578A8"/>
    <w:rsid w:val="6900B447"/>
    <w:rsid w:val="690F37DF"/>
    <w:rsid w:val="69249FA3"/>
    <w:rsid w:val="6932F67A"/>
    <w:rsid w:val="69542692"/>
    <w:rsid w:val="69611463"/>
    <w:rsid w:val="698B06F3"/>
    <w:rsid w:val="6996F75B"/>
    <w:rsid w:val="69C7D787"/>
    <w:rsid w:val="69E3234C"/>
    <w:rsid w:val="69E3DBA3"/>
    <w:rsid w:val="69F1F2DD"/>
    <w:rsid w:val="6A010CA3"/>
    <w:rsid w:val="6A0E3C30"/>
    <w:rsid w:val="6A22E5FE"/>
    <w:rsid w:val="6A3E826F"/>
    <w:rsid w:val="6A442434"/>
    <w:rsid w:val="6A46ED3D"/>
    <w:rsid w:val="6A4F9BB7"/>
    <w:rsid w:val="6A5AC7FC"/>
    <w:rsid w:val="6A5AF63B"/>
    <w:rsid w:val="6A60BC64"/>
    <w:rsid w:val="6A62FCBF"/>
    <w:rsid w:val="6A9B5ADE"/>
    <w:rsid w:val="6AC44388"/>
    <w:rsid w:val="6ACF79E8"/>
    <w:rsid w:val="6AD38DB6"/>
    <w:rsid w:val="6AD530F7"/>
    <w:rsid w:val="6AD6AA46"/>
    <w:rsid w:val="6AE5E8E4"/>
    <w:rsid w:val="6AEC454A"/>
    <w:rsid w:val="6AF51FEA"/>
    <w:rsid w:val="6AF72320"/>
    <w:rsid w:val="6AFEDE2D"/>
    <w:rsid w:val="6B05E640"/>
    <w:rsid w:val="6B378D8E"/>
    <w:rsid w:val="6B5812E8"/>
    <w:rsid w:val="6B8BD9D2"/>
    <w:rsid w:val="6BA0D757"/>
    <w:rsid w:val="6BB09AD1"/>
    <w:rsid w:val="6BCD1604"/>
    <w:rsid w:val="6BE6B869"/>
    <w:rsid w:val="6C051CC6"/>
    <w:rsid w:val="6C21A74D"/>
    <w:rsid w:val="6C25ABA8"/>
    <w:rsid w:val="6C27473F"/>
    <w:rsid w:val="6C470051"/>
    <w:rsid w:val="6C525EA5"/>
    <w:rsid w:val="6C558F6B"/>
    <w:rsid w:val="6C66F5A0"/>
    <w:rsid w:val="6C7C92C5"/>
    <w:rsid w:val="6C87A1AB"/>
    <w:rsid w:val="6C9C6104"/>
    <w:rsid w:val="6CB15D18"/>
    <w:rsid w:val="6CD4BE7B"/>
    <w:rsid w:val="6CF91959"/>
    <w:rsid w:val="6D115C5E"/>
    <w:rsid w:val="6D21D2B1"/>
    <w:rsid w:val="6D2ADD76"/>
    <w:rsid w:val="6D366BBC"/>
    <w:rsid w:val="6D4A9E1C"/>
    <w:rsid w:val="6D4AABB4"/>
    <w:rsid w:val="6D5973D1"/>
    <w:rsid w:val="6D77CA23"/>
    <w:rsid w:val="6D78D099"/>
    <w:rsid w:val="6D7DC6AB"/>
    <w:rsid w:val="6D8CDFE3"/>
    <w:rsid w:val="6D9770A1"/>
    <w:rsid w:val="6DE5EC4D"/>
    <w:rsid w:val="6DFCB04F"/>
    <w:rsid w:val="6E1E2D20"/>
    <w:rsid w:val="6E22B9EA"/>
    <w:rsid w:val="6E2CED02"/>
    <w:rsid w:val="6E3E18F5"/>
    <w:rsid w:val="6E45493E"/>
    <w:rsid w:val="6E4EF199"/>
    <w:rsid w:val="6E9D5313"/>
    <w:rsid w:val="6EB06DAD"/>
    <w:rsid w:val="6EB0D819"/>
    <w:rsid w:val="6EB1A4E9"/>
    <w:rsid w:val="6EFABDAD"/>
    <w:rsid w:val="6EFBB088"/>
    <w:rsid w:val="6EFE32EA"/>
    <w:rsid w:val="6F168E92"/>
    <w:rsid w:val="6F188515"/>
    <w:rsid w:val="6F19540C"/>
    <w:rsid w:val="6F36AA6C"/>
    <w:rsid w:val="6F5F2958"/>
    <w:rsid w:val="6F5F9A94"/>
    <w:rsid w:val="6F6D1044"/>
    <w:rsid w:val="6F89B699"/>
    <w:rsid w:val="6F916DD9"/>
    <w:rsid w:val="6F990BFF"/>
    <w:rsid w:val="6FA61889"/>
    <w:rsid w:val="6FB61A69"/>
    <w:rsid w:val="6FC6F25D"/>
    <w:rsid w:val="6FD9862C"/>
    <w:rsid w:val="6FF2D9E3"/>
    <w:rsid w:val="7002BF6C"/>
    <w:rsid w:val="70042337"/>
    <w:rsid w:val="702CC5D9"/>
    <w:rsid w:val="70413091"/>
    <w:rsid w:val="704291EF"/>
    <w:rsid w:val="70897C62"/>
    <w:rsid w:val="7090060D"/>
    <w:rsid w:val="70911493"/>
    <w:rsid w:val="70967492"/>
    <w:rsid w:val="70A851B9"/>
    <w:rsid w:val="70A939E4"/>
    <w:rsid w:val="70B3D233"/>
    <w:rsid w:val="70CB97FF"/>
    <w:rsid w:val="70CD1BEB"/>
    <w:rsid w:val="70D1D021"/>
    <w:rsid w:val="70D4DC92"/>
    <w:rsid w:val="70D8EB49"/>
    <w:rsid w:val="70EFFC07"/>
    <w:rsid w:val="70F77FAF"/>
    <w:rsid w:val="71162B71"/>
    <w:rsid w:val="711DBFE0"/>
    <w:rsid w:val="711F6AE5"/>
    <w:rsid w:val="7132913E"/>
    <w:rsid w:val="71343AE6"/>
    <w:rsid w:val="714119B3"/>
    <w:rsid w:val="71505125"/>
    <w:rsid w:val="7196AC9C"/>
    <w:rsid w:val="71A6148C"/>
    <w:rsid w:val="71A90F0D"/>
    <w:rsid w:val="71B9867C"/>
    <w:rsid w:val="71BDE14C"/>
    <w:rsid w:val="71D0311D"/>
    <w:rsid w:val="71D81CDC"/>
    <w:rsid w:val="71D9C2A0"/>
    <w:rsid w:val="71E05D9F"/>
    <w:rsid w:val="71EE298A"/>
    <w:rsid w:val="7203BBF2"/>
    <w:rsid w:val="7208DEC0"/>
    <w:rsid w:val="7224E662"/>
    <w:rsid w:val="72281404"/>
    <w:rsid w:val="723AB404"/>
    <w:rsid w:val="724620E4"/>
    <w:rsid w:val="72529A2A"/>
    <w:rsid w:val="725EBC45"/>
    <w:rsid w:val="7277B748"/>
    <w:rsid w:val="7278CE7E"/>
    <w:rsid w:val="727A0BF2"/>
    <w:rsid w:val="728156CD"/>
    <w:rsid w:val="72A0C175"/>
    <w:rsid w:val="72BBBC6E"/>
    <w:rsid w:val="72BDB0D7"/>
    <w:rsid w:val="72C4D988"/>
    <w:rsid w:val="72CB3C97"/>
    <w:rsid w:val="72D259C5"/>
    <w:rsid w:val="72D7D26C"/>
    <w:rsid w:val="7309F91E"/>
    <w:rsid w:val="731E4BDF"/>
    <w:rsid w:val="732006B4"/>
    <w:rsid w:val="732D3D6F"/>
    <w:rsid w:val="732E3ED1"/>
    <w:rsid w:val="733B251B"/>
    <w:rsid w:val="737BFDBF"/>
    <w:rsid w:val="737C2E00"/>
    <w:rsid w:val="7381511C"/>
    <w:rsid w:val="738C8BE3"/>
    <w:rsid w:val="73A44A1E"/>
    <w:rsid w:val="73ABEFD5"/>
    <w:rsid w:val="73C0C0C6"/>
    <w:rsid w:val="73C17575"/>
    <w:rsid w:val="73C4027E"/>
    <w:rsid w:val="73CA0453"/>
    <w:rsid w:val="73D9A11A"/>
    <w:rsid w:val="73DD21CD"/>
    <w:rsid w:val="7410DB39"/>
    <w:rsid w:val="744FEBFC"/>
    <w:rsid w:val="747238AA"/>
    <w:rsid w:val="7478236B"/>
    <w:rsid w:val="74BD9C2D"/>
    <w:rsid w:val="74C1718A"/>
    <w:rsid w:val="74DB9C24"/>
    <w:rsid w:val="74DFA8F7"/>
    <w:rsid w:val="74E0AFCF"/>
    <w:rsid w:val="74E502AD"/>
    <w:rsid w:val="74ECA5FB"/>
    <w:rsid w:val="751E9EDB"/>
    <w:rsid w:val="751EF82B"/>
    <w:rsid w:val="75217758"/>
    <w:rsid w:val="752B251F"/>
    <w:rsid w:val="7547E02F"/>
    <w:rsid w:val="756EAC28"/>
    <w:rsid w:val="7588B811"/>
    <w:rsid w:val="7597CE67"/>
    <w:rsid w:val="75C71BB5"/>
    <w:rsid w:val="75CC7FAD"/>
    <w:rsid w:val="75CF64D1"/>
    <w:rsid w:val="75D18EE5"/>
    <w:rsid w:val="75DFEF8D"/>
    <w:rsid w:val="75E03557"/>
    <w:rsid w:val="76249E2D"/>
    <w:rsid w:val="7644B1CA"/>
    <w:rsid w:val="76775709"/>
    <w:rsid w:val="768215AF"/>
    <w:rsid w:val="76B8F1DE"/>
    <w:rsid w:val="76BFB2D2"/>
    <w:rsid w:val="76D0BAD8"/>
    <w:rsid w:val="76E112FA"/>
    <w:rsid w:val="76EE5DE4"/>
    <w:rsid w:val="76F1D78A"/>
    <w:rsid w:val="76FB8527"/>
    <w:rsid w:val="77068A82"/>
    <w:rsid w:val="77277FB6"/>
    <w:rsid w:val="775838F7"/>
    <w:rsid w:val="7758DA2A"/>
    <w:rsid w:val="776D42AD"/>
    <w:rsid w:val="77A1457F"/>
    <w:rsid w:val="77BAFADB"/>
    <w:rsid w:val="77BF92A9"/>
    <w:rsid w:val="77FA0C5C"/>
    <w:rsid w:val="78288EC3"/>
    <w:rsid w:val="7831D453"/>
    <w:rsid w:val="78331892"/>
    <w:rsid w:val="783798AE"/>
    <w:rsid w:val="78403D42"/>
    <w:rsid w:val="78468403"/>
    <w:rsid w:val="78558ED7"/>
    <w:rsid w:val="78688D84"/>
    <w:rsid w:val="786B5AA3"/>
    <w:rsid w:val="786C52A2"/>
    <w:rsid w:val="786CE0B0"/>
    <w:rsid w:val="787F5A5F"/>
    <w:rsid w:val="78B0CD4D"/>
    <w:rsid w:val="78EEDF54"/>
    <w:rsid w:val="78EF6A60"/>
    <w:rsid w:val="79179AA1"/>
    <w:rsid w:val="7917DA44"/>
    <w:rsid w:val="7924FB49"/>
    <w:rsid w:val="793BE9A6"/>
    <w:rsid w:val="793CBFC6"/>
    <w:rsid w:val="794B12E6"/>
    <w:rsid w:val="796ADB85"/>
    <w:rsid w:val="797EB881"/>
    <w:rsid w:val="7989143A"/>
    <w:rsid w:val="79A2A386"/>
    <w:rsid w:val="79BDB213"/>
    <w:rsid w:val="79D03F84"/>
    <w:rsid w:val="79DB34CE"/>
    <w:rsid w:val="79EB7DCE"/>
    <w:rsid w:val="7A06C803"/>
    <w:rsid w:val="7A241724"/>
    <w:rsid w:val="7A2CA0A2"/>
    <w:rsid w:val="7A2D14F6"/>
    <w:rsid w:val="7A318897"/>
    <w:rsid w:val="7A37738B"/>
    <w:rsid w:val="7A42CD29"/>
    <w:rsid w:val="7A4B26E1"/>
    <w:rsid w:val="7A5896D8"/>
    <w:rsid w:val="7A5966AD"/>
    <w:rsid w:val="7A59B0D1"/>
    <w:rsid w:val="7A631B22"/>
    <w:rsid w:val="7A6E6EF8"/>
    <w:rsid w:val="7A7A7855"/>
    <w:rsid w:val="7A809FA3"/>
    <w:rsid w:val="7A82C0E0"/>
    <w:rsid w:val="7A886251"/>
    <w:rsid w:val="7A965E51"/>
    <w:rsid w:val="7AA5480A"/>
    <w:rsid w:val="7AC20D39"/>
    <w:rsid w:val="7AC56B77"/>
    <w:rsid w:val="7AF62906"/>
    <w:rsid w:val="7B0ACF33"/>
    <w:rsid w:val="7B127B44"/>
    <w:rsid w:val="7B15791A"/>
    <w:rsid w:val="7B92A575"/>
    <w:rsid w:val="7B9EFE1D"/>
    <w:rsid w:val="7BA8F7CB"/>
    <w:rsid w:val="7BB3F327"/>
    <w:rsid w:val="7BC39B2A"/>
    <w:rsid w:val="7BC87103"/>
    <w:rsid w:val="7BD5689E"/>
    <w:rsid w:val="7BD6A744"/>
    <w:rsid w:val="7BDA4243"/>
    <w:rsid w:val="7BDFB2ED"/>
    <w:rsid w:val="7BE39D9F"/>
    <w:rsid w:val="7BE90E7E"/>
    <w:rsid w:val="7BFA25C1"/>
    <w:rsid w:val="7C16BA58"/>
    <w:rsid w:val="7C25F423"/>
    <w:rsid w:val="7C3F4C91"/>
    <w:rsid w:val="7C4489B4"/>
    <w:rsid w:val="7C6A9BE2"/>
    <w:rsid w:val="7C75B822"/>
    <w:rsid w:val="7CD7F361"/>
    <w:rsid w:val="7CDBFEB1"/>
    <w:rsid w:val="7CDD8CC7"/>
    <w:rsid w:val="7CF66D38"/>
    <w:rsid w:val="7D128DC9"/>
    <w:rsid w:val="7D21981C"/>
    <w:rsid w:val="7D5709E0"/>
    <w:rsid w:val="7D64B5B8"/>
    <w:rsid w:val="7D69F532"/>
    <w:rsid w:val="7D6E06D0"/>
    <w:rsid w:val="7D847F47"/>
    <w:rsid w:val="7DA4D3AE"/>
    <w:rsid w:val="7DB82403"/>
    <w:rsid w:val="7DB8DAF4"/>
    <w:rsid w:val="7DBD7185"/>
    <w:rsid w:val="7DC00313"/>
    <w:rsid w:val="7DD46F6D"/>
    <w:rsid w:val="7DFF9BEF"/>
    <w:rsid w:val="7E2B9D52"/>
    <w:rsid w:val="7E31D2A9"/>
    <w:rsid w:val="7E7EBEE4"/>
    <w:rsid w:val="7E8778BF"/>
    <w:rsid w:val="7E878CE9"/>
    <w:rsid w:val="7E986319"/>
    <w:rsid w:val="7E9B4230"/>
    <w:rsid w:val="7EBD687D"/>
    <w:rsid w:val="7ED5B880"/>
    <w:rsid w:val="7F01307C"/>
    <w:rsid w:val="7F01E5B7"/>
    <w:rsid w:val="7F0E4806"/>
    <w:rsid w:val="7F35C2AE"/>
    <w:rsid w:val="7F5CA823"/>
    <w:rsid w:val="7F6F219C"/>
    <w:rsid w:val="7F7D47D7"/>
    <w:rsid w:val="7F8B933A"/>
    <w:rsid w:val="7F98A2E0"/>
    <w:rsid w:val="7FA3F105"/>
    <w:rsid w:val="7FA8817C"/>
    <w:rsid w:val="7FB6F87F"/>
    <w:rsid w:val="7FCA92C6"/>
    <w:rsid w:val="7FDE0C24"/>
    <w:rsid w:val="7FE561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C71B1"/>
  <w15:chartTrackingRefBased/>
  <w15:docId w15:val="{A3BE0264-CC3E-4F19-898B-FFAD3D20C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3425"/>
    <w:pPr>
      <w:numPr>
        <w:numId w:val="14"/>
      </w:numPr>
      <w:spacing w:line="360" w:lineRule="auto"/>
      <w:ind w:left="360"/>
      <w:outlineLvl w:val="0"/>
    </w:pPr>
    <w:rPr>
      <w:b/>
      <w:bCs/>
      <w:caps/>
    </w:rPr>
  </w:style>
  <w:style w:type="paragraph" w:styleId="Heading2">
    <w:name w:val="heading 2"/>
    <w:basedOn w:val="Normal"/>
    <w:next w:val="Normal"/>
    <w:link w:val="Heading2Char"/>
    <w:uiPriority w:val="9"/>
    <w:unhideWhenUsed/>
    <w:qFormat/>
    <w:rsid w:val="00C77D22"/>
    <w:pPr>
      <w:spacing w:line="360" w:lineRule="auto"/>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916922"/>
  </w:style>
  <w:style w:type="character" w:styleId="Hyperlink">
    <w:name w:val="Hyperlink"/>
    <w:basedOn w:val="DefaultParagraphFont"/>
    <w:uiPriority w:val="99"/>
    <w:unhideWhenUsed/>
    <w:rsid w:val="006E7513"/>
    <w:rPr>
      <w:color w:val="0563C1" w:themeColor="hyperlink"/>
      <w:u w:val="single"/>
    </w:rPr>
  </w:style>
  <w:style w:type="paragraph" w:styleId="ListParagraph">
    <w:name w:val="List Paragraph"/>
    <w:basedOn w:val="Normal"/>
    <w:uiPriority w:val="34"/>
    <w:qFormat/>
    <w:rsid w:val="00EF7452"/>
    <w:pPr>
      <w:ind w:left="720"/>
      <w:contextualSpacing/>
    </w:pPr>
  </w:style>
  <w:style w:type="table" w:styleId="TableGrid">
    <w:name w:val="Table Grid"/>
    <w:basedOn w:val="TableNormal"/>
    <w:uiPriority w:val="39"/>
    <w:rsid w:val="00346E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02377"/>
    <w:rPr>
      <w:sz w:val="16"/>
      <w:szCs w:val="16"/>
    </w:rPr>
  </w:style>
  <w:style w:type="paragraph" w:styleId="CommentText">
    <w:name w:val="annotation text"/>
    <w:basedOn w:val="Normal"/>
    <w:link w:val="CommentTextChar"/>
    <w:uiPriority w:val="99"/>
    <w:unhideWhenUsed/>
    <w:rsid w:val="00802377"/>
    <w:pPr>
      <w:spacing w:line="240" w:lineRule="auto"/>
    </w:pPr>
    <w:rPr>
      <w:sz w:val="20"/>
      <w:szCs w:val="20"/>
    </w:rPr>
  </w:style>
  <w:style w:type="character" w:customStyle="1" w:styleId="CommentTextChar">
    <w:name w:val="Comment Text Char"/>
    <w:basedOn w:val="DefaultParagraphFont"/>
    <w:link w:val="CommentText"/>
    <w:uiPriority w:val="99"/>
    <w:rsid w:val="00802377"/>
    <w:rPr>
      <w:sz w:val="20"/>
      <w:szCs w:val="20"/>
    </w:rPr>
  </w:style>
  <w:style w:type="paragraph" w:styleId="CommentSubject">
    <w:name w:val="annotation subject"/>
    <w:basedOn w:val="CommentText"/>
    <w:next w:val="CommentText"/>
    <w:link w:val="CommentSubjectChar"/>
    <w:uiPriority w:val="99"/>
    <w:semiHidden/>
    <w:unhideWhenUsed/>
    <w:rsid w:val="00802377"/>
    <w:rPr>
      <w:b/>
      <w:bCs/>
    </w:rPr>
  </w:style>
  <w:style w:type="character" w:customStyle="1" w:styleId="CommentSubjectChar">
    <w:name w:val="Comment Subject Char"/>
    <w:basedOn w:val="CommentTextChar"/>
    <w:link w:val="CommentSubject"/>
    <w:uiPriority w:val="99"/>
    <w:semiHidden/>
    <w:rsid w:val="00802377"/>
    <w:rPr>
      <w:b/>
      <w:bCs/>
      <w:sz w:val="20"/>
      <w:szCs w:val="20"/>
    </w:rPr>
  </w:style>
  <w:style w:type="paragraph" w:styleId="BalloonText">
    <w:name w:val="Balloon Text"/>
    <w:basedOn w:val="Normal"/>
    <w:link w:val="BalloonTextChar"/>
    <w:uiPriority w:val="99"/>
    <w:semiHidden/>
    <w:unhideWhenUsed/>
    <w:rsid w:val="004712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1212"/>
    <w:rPr>
      <w:rFonts w:ascii="Segoe UI" w:hAnsi="Segoe UI" w:cs="Segoe UI"/>
      <w:sz w:val="18"/>
      <w:szCs w:val="18"/>
    </w:rPr>
  </w:style>
  <w:style w:type="paragraph" w:styleId="HTMLPreformatted">
    <w:name w:val="HTML Preformatted"/>
    <w:basedOn w:val="Normal"/>
    <w:link w:val="HTMLPreformattedChar"/>
    <w:uiPriority w:val="99"/>
    <w:semiHidden/>
    <w:unhideWhenUsed/>
    <w:rsid w:val="000E7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0E79EE"/>
    <w:rPr>
      <w:rFonts w:ascii="Courier New" w:eastAsia="Times New Roman" w:hAnsi="Courier New" w:cs="Courier New"/>
      <w:sz w:val="20"/>
      <w:szCs w:val="20"/>
      <w:lang w:eastAsia="en-GB"/>
    </w:rPr>
  </w:style>
  <w:style w:type="character" w:styleId="HTMLCode">
    <w:name w:val="HTML Code"/>
    <w:basedOn w:val="DefaultParagraphFont"/>
    <w:uiPriority w:val="99"/>
    <w:semiHidden/>
    <w:unhideWhenUsed/>
    <w:rsid w:val="000E79EE"/>
    <w:rPr>
      <w:rFonts w:ascii="Courier New" w:eastAsia="Times New Roman" w:hAnsi="Courier New" w:cs="Courier New"/>
      <w:sz w:val="20"/>
      <w:szCs w:val="20"/>
    </w:rPr>
  </w:style>
  <w:style w:type="character" w:customStyle="1" w:styleId="normaltextrun">
    <w:name w:val="normaltextrun"/>
    <w:basedOn w:val="DefaultParagraphFont"/>
    <w:rsid w:val="00CC7CCA"/>
  </w:style>
  <w:style w:type="paragraph" w:styleId="Header">
    <w:name w:val="header"/>
    <w:basedOn w:val="Normal"/>
    <w:link w:val="HeaderChar"/>
    <w:uiPriority w:val="99"/>
    <w:unhideWhenUsed/>
    <w:rsid w:val="000271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710C"/>
  </w:style>
  <w:style w:type="paragraph" w:styleId="Footer">
    <w:name w:val="footer"/>
    <w:basedOn w:val="Normal"/>
    <w:link w:val="FooterChar"/>
    <w:uiPriority w:val="99"/>
    <w:unhideWhenUsed/>
    <w:rsid w:val="000271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710C"/>
  </w:style>
  <w:style w:type="character" w:customStyle="1" w:styleId="Mention1">
    <w:name w:val="Mention1"/>
    <w:basedOn w:val="DefaultParagraphFont"/>
    <w:uiPriority w:val="99"/>
    <w:unhideWhenUsed/>
    <w:rPr>
      <w:color w:val="2B579A"/>
      <w:shd w:val="clear" w:color="auto" w:fill="E6E6E6"/>
    </w:rPr>
  </w:style>
  <w:style w:type="paragraph" w:styleId="FootnoteText">
    <w:name w:val="footnote text"/>
    <w:basedOn w:val="Normal"/>
    <w:link w:val="FootnoteTextChar"/>
    <w:uiPriority w:val="99"/>
    <w:semiHidden/>
    <w:unhideWhenUsed/>
    <w:rsid w:val="002144A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44AC"/>
    <w:rPr>
      <w:sz w:val="20"/>
      <w:szCs w:val="20"/>
    </w:rPr>
  </w:style>
  <w:style w:type="character" w:styleId="FootnoteReference">
    <w:name w:val="footnote reference"/>
    <w:basedOn w:val="DefaultParagraphFont"/>
    <w:uiPriority w:val="99"/>
    <w:semiHidden/>
    <w:unhideWhenUsed/>
    <w:rsid w:val="002144AC"/>
    <w:rPr>
      <w:vertAlign w:val="superscript"/>
    </w:rPr>
  </w:style>
  <w:style w:type="character" w:customStyle="1" w:styleId="UnresolvedMention1">
    <w:name w:val="Unresolved Mention1"/>
    <w:basedOn w:val="DefaultParagraphFont"/>
    <w:uiPriority w:val="99"/>
    <w:unhideWhenUsed/>
    <w:rsid w:val="0084462E"/>
    <w:rPr>
      <w:color w:val="605E5C"/>
      <w:shd w:val="clear" w:color="auto" w:fill="E1DFDD"/>
    </w:rPr>
  </w:style>
  <w:style w:type="character" w:customStyle="1" w:styleId="Mention2">
    <w:name w:val="Mention2"/>
    <w:basedOn w:val="DefaultParagraphFont"/>
    <w:uiPriority w:val="99"/>
    <w:unhideWhenUsed/>
    <w:rsid w:val="0084462E"/>
    <w:rPr>
      <w:color w:val="2B579A"/>
      <w:shd w:val="clear" w:color="auto" w:fill="E1DFDD"/>
    </w:rPr>
  </w:style>
  <w:style w:type="paragraph" w:styleId="Bibliography">
    <w:name w:val="Bibliography"/>
    <w:basedOn w:val="Normal"/>
    <w:next w:val="Normal"/>
    <w:uiPriority w:val="37"/>
    <w:unhideWhenUsed/>
    <w:rsid w:val="000538EA"/>
  </w:style>
  <w:style w:type="character" w:customStyle="1" w:styleId="Heading1Char">
    <w:name w:val="Heading 1 Char"/>
    <w:basedOn w:val="DefaultParagraphFont"/>
    <w:link w:val="Heading1"/>
    <w:uiPriority w:val="9"/>
    <w:rsid w:val="00593425"/>
    <w:rPr>
      <w:b/>
      <w:bCs/>
      <w:caps/>
    </w:rPr>
  </w:style>
  <w:style w:type="character" w:styleId="Strong">
    <w:name w:val="Strong"/>
    <w:basedOn w:val="DefaultParagraphFont"/>
    <w:uiPriority w:val="22"/>
    <w:qFormat/>
    <w:rsid w:val="00C77D22"/>
  </w:style>
  <w:style w:type="character" w:customStyle="1" w:styleId="Heading2Char">
    <w:name w:val="Heading 2 Char"/>
    <w:basedOn w:val="DefaultParagraphFont"/>
    <w:link w:val="Heading2"/>
    <w:uiPriority w:val="9"/>
    <w:rsid w:val="00C77D22"/>
    <w:rPr>
      <w:b/>
    </w:rPr>
  </w:style>
  <w:style w:type="paragraph" w:styleId="Revision">
    <w:name w:val="Revision"/>
    <w:hidden/>
    <w:uiPriority w:val="99"/>
    <w:semiHidden/>
    <w:rsid w:val="004F2B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1830">
      <w:bodyDiv w:val="1"/>
      <w:marLeft w:val="0"/>
      <w:marRight w:val="0"/>
      <w:marTop w:val="0"/>
      <w:marBottom w:val="0"/>
      <w:divBdr>
        <w:top w:val="none" w:sz="0" w:space="0" w:color="auto"/>
        <w:left w:val="none" w:sz="0" w:space="0" w:color="auto"/>
        <w:bottom w:val="none" w:sz="0" w:space="0" w:color="auto"/>
        <w:right w:val="none" w:sz="0" w:space="0" w:color="auto"/>
      </w:divBdr>
    </w:div>
    <w:div w:id="32921092">
      <w:bodyDiv w:val="1"/>
      <w:marLeft w:val="0"/>
      <w:marRight w:val="0"/>
      <w:marTop w:val="0"/>
      <w:marBottom w:val="0"/>
      <w:divBdr>
        <w:top w:val="none" w:sz="0" w:space="0" w:color="auto"/>
        <w:left w:val="none" w:sz="0" w:space="0" w:color="auto"/>
        <w:bottom w:val="none" w:sz="0" w:space="0" w:color="auto"/>
        <w:right w:val="none" w:sz="0" w:space="0" w:color="auto"/>
      </w:divBdr>
    </w:div>
    <w:div w:id="84571796">
      <w:bodyDiv w:val="1"/>
      <w:marLeft w:val="0"/>
      <w:marRight w:val="0"/>
      <w:marTop w:val="0"/>
      <w:marBottom w:val="0"/>
      <w:divBdr>
        <w:top w:val="none" w:sz="0" w:space="0" w:color="auto"/>
        <w:left w:val="none" w:sz="0" w:space="0" w:color="auto"/>
        <w:bottom w:val="none" w:sz="0" w:space="0" w:color="auto"/>
        <w:right w:val="none" w:sz="0" w:space="0" w:color="auto"/>
      </w:divBdr>
    </w:div>
    <w:div w:id="182324121">
      <w:bodyDiv w:val="1"/>
      <w:marLeft w:val="0"/>
      <w:marRight w:val="0"/>
      <w:marTop w:val="0"/>
      <w:marBottom w:val="0"/>
      <w:divBdr>
        <w:top w:val="none" w:sz="0" w:space="0" w:color="auto"/>
        <w:left w:val="none" w:sz="0" w:space="0" w:color="auto"/>
        <w:bottom w:val="none" w:sz="0" w:space="0" w:color="auto"/>
        <w:right w:val="none" w:sz="0" w:space="0" w:color="auto"/>
      </w:divBdr>
    </w:div>
    <w:div w:id="206141670">
      <w:bodyDiv w:val="1"/>
      <w:marLeft w:val="0"/>
      <w:marRight w:val="0"/>
      <w:marTop w:val="0"/>
      <w:marBottom w:val="0"/>
      <w:divBdr>
        <w:top w:val="none" w:sz="0" w:space="0" w:color="auto"/>
        <w:left w:val="none" w:sz="0" w:space="0" w:color="auto"/>
        <w:bottom w:val="none" w:sz="0" w:space="0" w:color="auto"/>
        <w:right w:val="none" w:sz="0" w:space="0" w:color="auto"/>
      </w:divBdr>
    </w:div>
    <w:div w:id="209272846">
      <w:bodyDiv w:val="1"/>
      <w:marLeft w:val="0"/>
      <w:marRight w:val="0"/>
      <w:marTop w:val="0"/>
      <w:marBottom w:val="0"/>
      <w:divBdr>
        <w:top w:val="none" w:sz="0" w:space="0" w:color="auto"/>
        <w:left w:val="none" w:sz="0" w:space="0" w:color="auto"/>
        <w:bottom w:val="none" w:sz="0" w:space="0" w:color="auto"/>
        <w:right w:val="none" w:sz="0" w:space="0" w:color="auto"/>
      </w:divBdr>
    </w:div>
    <w:div w:id="385564865">
      <w:bodyDiv w:val="1"/>
      <w:marLeft w:val="0"/>
      <w:marRight w:val="0"/>
      <w:marTop w:val="0"/>
      <w:marBottom w:val="0"/>
      <w:divBdr>
        <w:top w:val="none" w:sz="0" w:space="0" w:color="auto"/>
        <w:left w:val="none" w:sz="0" w:space="0" w:color="auto"/>
        <w:bottom w:val="none" w:sz="0" w:space="0" w:color="auto"/>
        <w:right w:val="none" w:sz="0" w:space="0" w:color="auto"/>
      </w:divBdr>
    </w:div>
    <w:div w:id="466631585">
      <w:bodyDiv w:val="1"/>
      <w:marLeft w:val="0"/>
      <w:marRight w:val="0"/>
      <w:marTop w:val="0"/>
      <w:marBottom w:val="0"/>
      <w:divBdr>
        <w:top w:val="none" w:sz="0" w:space="0" w:color="auto"/>
        <w:left w:val="none" w:sz="0" w:space="0" w:color="auto"/>
        <w:bottom w:val="none" w:sz="0" w:space="0" w:color="auto"/>
        <w:right w:val="none" w:sz="0" w:space="0" w:color="auto"/>
      </w:divBdr>
    </w:div>
    <w:div w:id="467936296">
      <w:bodyDiv w:val="1"/>
      <w:marLeft w:val="0"/>
      <w:marRight w:val="0"/>
      <w:marTop w:val="0"/>
      <w:marBottom w:val="0"/>
      <w:divBdr>
        <w:top w:val="none" w:sz="0" w:space="0" w:color="auto"/>
        <w:left w:val="none" w:sz="0" w:space="0" w:color="auto"/>
        <w:bottom w:val="none" w:sz="0" w:space="0" w:color="auto"/>
        <w:right w:val="none" w:sz="0" w:space="0" w:color="auto"/>
      </w:divBdr>
    </w:div>
    <w:div w:id="608123069">
      <w:bodyDiv w:val="1"/>
      <w:marLeft w:val="0"/>
      <w:marRight w:val="0"/>
      <w:marTop w:val="0"/>
      <w:marBottom w:val="0"/>
      <w:divBdr>
        <w:top w:val="none" w:sz="0" w:space="0" w:color="auto"/>
        <w:left w:val="none" w:sz="0" w:space="0" w:color="auto"/>
        <w:bottom w:val="none" w:sz="0" w:space="0" w:color="auto"/>
        <w:right w:val="none" w:sz="0" w:space="0" w:color="auto"/>
      </w:divBdr>
    </w:div>
    <w:div w:id="688336758">
      <w:bodyDiv w:val="1"/>
      <w:marLeft w:val="0"/>
      <w:marRight w:val="0"/>
      <w:marTop w:val="0"/>
      <w:marBottom w:val="0"/>
      <w:divBdr>
        <w:top w:val="none" w:sz="0" w:space="0" w:color="auto"/>
        <w:left w:val="none" w:sz="0" w:space="0" w:color="auto"/>
        <w:bottom w:val="none" w:sz="0" w:space="0" w:color="auto"/>
        <w:right w:val="none" w:sz="0" w:space="0" w:color="auto"/>
      </w:divBdr>
    </w:div>
    <w:div w:id="752775332">
      <w:bodyDiv w:val="1"/>
      <w:marLeft w:val="0"/>
      <w:marRight w:val="0"/>
      <w:marTop w:val="0"/>
      <w:marBottom w:val="0"/>
      <w:divBdr>
        <w:top w:val="none" w:sz="0" w:space="0" w:color="auto"/>
        <w:left w:val="none" w:sz="0" w:space="0" w:color="auto"/>
        <w:bottom w:val="none" w:sz="0" w:space="0" w:color="auto"/>
        <w:right w:val="none" w:sz="0" w:space="0" w:color="auto"/>
      </w:divBdr>
    </w:div>
    <w:div w:id="770246739">
      <w:bodyDiv w:val="1"/>
      <w:marLeft w:val="0"/>
      <w:marRight w:val="0"/>
      <w:marTop w:val="0"/>
      <w:marBottom w:val="0"/>
      <w:divBdr>
        <w:top w:val="none" w:sz="0" w:space="0" w:color="auto"/>
        <w:left w:val="none" w:sz="0" w:space="0" w:color="auto"/>
        <w:bottom w:val="none" w:sz="0" w:space="0" w:color="auto"/>
        <w:right w:val="none" w:sz="0" w:space="0" w:color="auto"/>
      </w:divBdr>
    </w:div>
    <w:div w:id="792820461">
      <w:bodyDiv w:val="1"/>
      <w:marLeft w:val="0"/>
      <w:marRight w:val="0"/>
      <w:marTop w:val="0"/>
      <w:marBottom w:val="0"/>
      <w:divBdr>
        <w:top w:val="none" w:sz="0" w:space="0" w:color="auto"/>
        <w:left w:val="none" w:sz="0" w:space="0" w:color="auto"/>
        <w:bottom w:val="none" w:sz="0" w:space="0" w:color="auto"/>
        <w:right w:val="none" w:sz="0" w:space="0" w:color="auto"/>
      </w:divBdr>
    </w:div>
    <w:div w:id="1003317771">
      <w:bodyDiv w:val="1"/>
      <w:marLeft w:val="0"/>
      <w:marRight w:val="0"/>
      <w:marTop w:val="0"/>
      <w:marBottom w:val="0"/>
      <w:divBdr>
        <w:top w:val="none" w:sz="0" w:space="0" w:color="auto"/>
        <w:left w:val="none" w:sz="0" w:space="0" w:color="auto"/>
        <w:bottom w:val="none" w:sz="0" w:space="0" w:color="auto"/>
        <w:right w:val="none" w:sz="0" w:space="0" w:color="auto"/>
      </w:divBdr>
    </w:div>
    <w:div w:id="1047415273">
      <w:bodyDiv w:val="1"/>
      <w:marLeft w:val="0"/>
      <w:marRight w:val="0"/>
      <w:marTop w:val="0"/>
      <w:marBottom w:val="0"/>
      <w:divBdr>
        <w:top w:val="none" w:sz="0" w:space="0" w:color="auto"/>
        <w:left w:val="none" w:sz="0" w:space="0" w:color="auto"/>
        <w:bottom w:val="none" w:sz="0" w:space="0" w:color="auto"/>
        <w:right w:val="none" w:sz="0" w:space="0" w:color="auto"/>
      </w:divBdr>
    </w:div>
    <w:div w:id="1347319838">
      <w:bodyDiv w:val="1"/>
      <w:marLeft w:val="0"/>
      <w:marRight w:val="0"/>
      <w:marTop w:val="0"/>
      <w:marBottom w:val="0"/>
      <w:divBdr>
        <w:top w:val="none" w:sz="0" w:space="0" w:color="auto"/>
        <w:left w:val="none" w:sz="0" w:space="0" w:color="auto"/>
        <w:bottom w:val="none" w:sz="0" w:space="0" w:color="auto"/>
        <w:right w:val="none" w:sz="0" w:space="0" w:color="auto"/>
      </w:divBdr>
    </w:div>
    <w:div w:id="1407150344">
      <w:bodyDiv w:val="1"/>
      <w:marLeft w:val="0"/>
      <w:marRight w:val="0"/>
      <w:marTop w:val="0"/>
      <w:marBottom w:val="0"/>
      <w:divBdr>
        <w:top w:val="none" w:sz="0" w:space="0" w:color="auto"/>
        <w:left w:val="none" w:sz="0" w:space="0" w:color="auto"/>
        <w:bottom w:val="none" w:sz="0" w:space="0" w:color="auto"/>
        <w:right w:val="none" w:sz="0" w:space="0" w:color="auto"/>
      </w:divBdr>
    </w:div>
    <w:div w:id="1461997004">
      <w:bodyDiv w:val="1"/>
      <w:marLeft w:val="0"/>
      <w:marRight w:val="0"/>
      <w:marTop w:val="0"/>
      <w:marBottom w:val="0"/>
      <w:divBdr>
        <w:top w:val="none" w:sz="0" w:space="0" w:color="auto"/>
        <w:left w:val="none" w:sz="0" w:space="0" w:color="auto"/>
        <w:bottom w:val="none" w:sz="0" w:space="0" w:color="auto"/>
        <w:right w:val="none" w:sz="0" w:space="0" w:color="auto"/>
      </w:divBdr>
    </w:div>
    <w:div w:id="1501694258">
      <w:bodyDiv w:val="1"/>
      <w:marLeft w:val="0"/>
      <w:marRight w:val="0"/>
      <w:marTop w:val="0"/>
      <w:marBottom w:val="0"/>
      <w:divBdr>
        <w:top w:val="none" w:sz="0" w:space="0" w:color="auto"/>
        <w:left w:val="none" w:sz="0" w:space="0" w:color="auto"/>
        <w:bottom w:val="none" w:sz="0" w:space="0" w:color="auto"/>
        <w:right w:val="none" w:sz="0" w:space="0" w:color="auto"/>
      </w:divBdr>
    </w:div>
    <w:div w:id="1503354897">
      <w:bodyDiv w:val="1"/>
      <w:marLeft w:val="0"/>
      <w:marRight w:val="0"/>
      <w:marTop w:val="0"/>
      <w:marBottom w:val="0"/>
      <w:divBdr>
        <w:top w:val="none" w:sz="0" w:space="0" w:color="auto"/>
        <w:left w:val="none" w:sz="0" w:space="0" w:color="auto"/>
        <w:bottom w:val="none" w:sz="0" w:space="0" w:color="auto"/>
        <w:right w:val="none" w:sz="0" w:space="0" w:color="auto"/>
      </w:divBdr>
    </w:div>
    <w:div w:id="1720088510">
      <w:bodyDiv w:val="1"/>
      <w:marLeft w:val="0"/>
      <w:marRight w:val="0"/>
      <w:marTop w:val="0"/>
      <w:marBottom w:val="0"/>
      <w:divBdr>
        <w:top w:val="none" w:sz="0" w:space="0" w:color="auto"/>
        <w:left w:val="none" w:sz="0" w:space="0" w:color="auto"/>
        <w:bottom w:val="none" w:sz="0" w:space="0" w:color="auto"/>
        <w:right w:val="none" w:sz="0" w:space="0" w:color="auto"/>
      </w:divBdr>
    </w:div>
    <w:div w:id="1805275675">
      <w:bodyDiv w:val="1"/>
      <w:marLeft w:val="0"/>
      <w:marRight w:val="0"/>
      <w:marTop w:val="0"/>
      <w:marBottom w:val="0"/>
      <w:divBdr>
        <w:top w:val="none" w:sz="0" w:space="0" w:color="auto"/>
        <w:left w:val="none" w:sz="0" w:space="0" w:color="auto"/>
        <w:bottom w:val="none" w:sz="0" w:space="0" w:color="auto"/>
        <w:right w:val="none" w:sz="0" w:space="0" w:color="auto"/>
      </w:divBdr>
    </w:div>
    <w:div w:id="2039349884">
      <w:bodyDiv w:val="1"/>
      <w:marLeft w:val="0"/>
      <w:marRight w:val="0"/>
      <w:marTop w:val="0"/>
      <w:marBottom w:val="0"/>
      <w:divBdr>
        <w:top w:val="none" w:sz="0" w:space="0" w:color="auto"/>
        <w:left w:val="none" w:sz="0" w:space="0" w:color="auto"/>
        <w:bottom w:val="none" w:sz="0" w:space="0" w:color="auto"/>
        <w:right w:val="none" w:sz="0" w:space="0" w:color="auto"/>
      </w:divBdr>
    </w:div>
    <w:div w:id="2085028186">
      <w:bodyDiv w:val="1"/>
      <w:marLeft w:val="0"/>
      <w:marRight w:val="0"/>
      <w:marTop w:val="0"/>
      <w:marBottom w:val="0"/>
      <w:divBdr>
        <w:top w:val="none" w:sz="0" w:space="0" w:color="auto"/>
        <w:left w:val="none" w:sz="0" w:space="0" w:color="auto"/>
        <w:bottom w:val="none" w:sz="0" w:space="0" w:color="auto"/>
        <w:right w:val="none" w:sz="0" w:space="0" w:color="auto"/>
      </w:divBdr>
    </w:div>
    <w:div w:id="214493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jpg"/><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a.alexander@rgu.ac.uk" TargetMode="External"/><Relationship Id="rId5" Type="http://schemas.openxmlformats.org/officeDocument/2006/relationships/numbering" Target="numbering.xml"/><Relationship Id="rId15" Type="http://schemas.openxmlformats.org/officeDocument/2006/relationships/image" Target="media/image3.tiff"/><Relationship Id="rId10" Type="http://schemas.openxmlformats.org/officeDocument/2006/relationships/endnotes" Target="endnotes.xml"/><Relationship Id="rId19" Type="http://schemas.openxmlformats.org/officeDocument/2006/relationships/fontTable" Target="fontTable.xml"/><Relationship Id="R15d22600c406429d"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iff"/></Relationships>
</file>

<file path=word/documenttasks/documenttasks1.xml><?xml version="1.0" encoding="utf-8"?>
<t:Tasks xmlns:t="http://schemas.microsoft.com/office/tasks/2019/documenttasks" xmlns:oel="http://schemas.microsoft.com/office/2019/extlst">
  <t:Task id="{90B21F22-2164-4721-9DB6-5B547417F989}">
    <t:Anchor>
      <t:Comment id="2064044658"/>
    </t:Anchor>
    <t:History>
      <t:Event id="{FDCE49C9-9965-4765-9E35-1E115A10BBDC}" time="2021-06-24T21:33:53.762Z">
        <t:Attribution userId="S::k.cooper@rgu.ac.uk::2f7a39ee-723e-4be1-8d22-5050b336eadd" userProvider="AD" userName="Kay Cooper (shs)"/>
        <t:Anchor>
          <t:Comment id="1950969484"/>
        </t:Anchor>
        <t:Create/>
      </t:Event>
      <t:Event id="{BCA788E2-D041-4822-B239-7E6DD80B9167}" time="2021-06-24T21:33:53.762Z">
        <t:Attribution userId="S::k.cooper@rgu.ac.uk::2f7a39ee-723e-4be1-8d22-5050b336eadd" userProvider="AD" userName="Kay Cooper (shs)"/>
        <t:Anchor>
          <t:Comment id="1950969484"/>
        </t:Anchor>
        <t:Assign userId="S::l.a.alexander@rgu.ac.uk::f9b78405-91a2-4f4f-8c1d-b84008fea77b" userProvider="AD" userName="Lyndsay Alexander (shs)"/>
      </t:Event>
      <t:Event id="{B9FB287C-7AD6-4FB5-9383-115C9369A5B9}" time="2021-06-24T21:33:53.762Z">
        <t:Attribution userId="S::k.cooper@rgu.ac.uk::2f7a39ee-723e-4be1-8d22-5050b336eadd" userProvider="AD" userName="Kay Cooper (shs)"/>
        <t:Anchor>
          <t:Comment id="1950969484"/>
        </t:Anchor>
        <t:SetTitle title="@Lyndsay Alexander (shs) where are we at with these? Has anyone volunteered to create these or do you &amp; me need to do this?"/>
      </t:Event>
    </t:History>
  </t:Task>
  <t:Task id="{4856D299-FB3F-403D-96B2-498B8CA1E8F9}">
    <t:Anchor>
      <t:Comment id="645552380"/>
    </t:Anchor>
    <t:History>
      <t:Event id="{07D97E8B-BA16-4828-86BC-70F59E4A4AB1}" time="2021-06-28T12:03:15.278Z">
        <t:Attribution userId="S::k.cooper@rgu.ac.uk::2f7a39ee-723e-4be1-8d22-5050b336eadd" userProvider="AD" userName="Kay Cooper (shs)"/>
        <t:Anchor>
          <t:Comment id="645552380"/>
        </t:Anchor>
        <t:Create/>
      </t:Event>
      <t:Event id="{6DA20713-5439-48AA-B1E5-41C0AA0FE6EE}" time="2021-06-28T12:03:15.278Z">
        <t:Attribution userId="S::k.cooper@rgu.ac.uk::2f7a39ee-723e-4be1-8d22-5050b336eadd" userProvider="AD" userName="Kay Cooper (shs)"/>
        <t:Anchor>
          <t:Comment id="645552380"/>
        </t:Anchor>
        <t:Assign userId="S::l.a.alexander@rgu.ac.uk::f9b78405-91a2-4f4f-8c1d-b84008fea77b" userProvider="AD" userName="Lyndsay Alexander (shs)"/>
      </t:Event>
      <t:Event id="{3B22F06B-53CD-4B60-90D4-176B1B214CCF}" time="2021-06-28T12:03:15.278Z">
        <t:Attribution userId="S::k.cooper@rgu.ac.uk::2f7a39ee-723e-4be1-8d22-5050b336eadd" userProvider="AD" userName="Kay Cooper (shs)"/>
        <t:Anchor>
          <t:Comment id="645552380"/>
        </t:Anchor>
        <t:SetTitle title="@Lyndsay Alexander (shs) we still need to decide if therapy/intervebntions or just exercise - I have tried to make consistent in the background but in the methods we seem to switch back to therapy"/>
      </t:Event>
    </t:History>
  </t:Task>
  <t:Task id="{CCA2579C-513C-446E-9D3D-96A5165D4178}">
    <t:Anchor>
      <t:Comment id="2040064639"/>
    </t:Anchor>
    <t:History>
      <t:Event id="{4C69AA4D-7CA9-45DD-9744-8CF0AAEB7D6F}" time="2021-06-29T08:55:15.51Z">
        <t:Attribution userId="S::k.cooper@rgu.ac.uk::2f7a39ee-723e-4be1-8d22-5050b336eadd" userProvider="AD" userName="Kay Cooper (shs)"/>
        <t:Anchor>
          <t:Comment id="147072619"/>
        </t:Anchor>
        <t:Create/>
      </t:Event>
      <t:Event id="{DFB8D5F6-0D77-4CAA-BE16-80E5EB2802A2}" time="2021-06-29T08:55:15.51Z">
        <t:Attribution userId="S::k.cooper@rgu.ac.uk::2f7a39ee-723e-4be1-8d22-5050b336eadd" userProvider="AD" userName="Kay Cooper (shs)"/>
        <t:Anchor>
          <t:Comment id="147072619"/>
        </t:Anchor>
        <t:Assign userId="S::p.swinton@rgu.ac.uk::63febce3-8177-4057-b2dc-c553c0cb5e53" userProvider="AD" userName="Paul Swinton (shs)"/>
      </t:Event>
      <t:Event id="{C1F43D2D-D32E-4511-A224-4B67D086F642}" time="2021-06-29T08:55:15.51Z">
        <t:Attribution userId="S::k.cooper@rgu.ac.uk::2f7a39ee-723e-4be1-8d22-5050b336eadd" userProvider="AD" userName="Kay Cooper (shs)"/>
        <t:Anchor>
          <t:Comment id="147072619"/>
        </t:Anchor>
        <t:SetTitle title="@Paul Swinton (shs)"/>
      </t:Event>
    </t:History>
  </t:Task>
  <t:Task id="{BCDE38EE-E8BF-410B-9D30-05C3FB36FF05}">
    <t:Anchor>
      <t:Comment id="1659081964"/>
    </t:Anchor>
    <t:History>
      <t:Event id="{D6B35D0F-BFAF-473C-AE39-49D2A21C21DB}" time="2021-06-29T08:55:26.485Z">
        <t:Attribution userId="S::k.cooper@rgu.ac.uk::2f7a39ee-723e-4be1-8d22-5050b336eadd" userProvider="AD" userName="Kay Cooper (shs)"/>
        <t:Anchor>
          <t:Comment id="624867400"/>
        </t:Anchor>
        <t:Create/>
      </t:Event>
      <t:Event id="{D0CD84D0-8141-4490-9BE9-826D7219A589}" time="2021-06-29T08:55:26.485Z">
        <t:Attribution userId="S::k.cooper@rgu.ac.uk::2f7a39ee-723e-4be1-8d22-5050b336eadd" userProvider="AD" userName="Kay Cooper (shs)"/>
        <t:Anchor>
          <t:Comment id="624867400"/>
        </t:Anchor>
        <t:Assign userId="S::p.swinton@rgu.ac.uk::63febce3-8177-4057-b2dc-c553c0cb5e53" userProvider="AD" userName="Paul Swinton (shs)"/>
      </t:Event>
      <t:Event id="{5A09F6E8-E153-45FE-86ED-3B80CFB8D5ED}" time="2021-06-29T08:55:26.485Z">
        <t:Attribution userId="S::k.cooper@rgu.ac.uk::2f7a39ee-723e-4be1-8d22-5050b336eadd" userProvider="AD" userName="Kay Cooper (shs)"/>
        <t:Anchor>
          <t:Comment id="624867400"/>
        </t:Anchor>
        <t:SetTitle title="@Paul Swinton (sh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73A169E7F07D4C81C6389C2E8722C6" ma:contentTypeVersion="12" ma:contentTypeDescription="Create a new document." ma:contentTypeScope="" ma:versionID="e2e126e9df4675d109c13d0cc35cd4a4">
  <xsd:schema xmlns:xsd="http://www.w3.org/2001/XMLSchema" xmlns:xs="http://www.w3.org/2001/XMLSchema" xmlns:p="http://schemas.microsoft.com/office/2006/metadata/properties" xmlns:ns2="e12d9cef-e620-44a7-9e3d-c5867b8fa7c9" xmlns:ns3="90238b90-e3db-4d51-82dc-82d7093d86ca" targetNamespace="http://schemas.microsoft.com/office/2006/metadata/properties" ma:root="true" ma:fieldsID="6f7405927b7992cb154d5128d245a33d" ns2:_="" ns3:_="">
    <xsd:import namespace="e12d9cef-e620-44a7-9e3d-c5867b8fa7c9"/>
    <xsd:import namespace="90238b90-e3db-4d51-82dc-82d7093d86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2d9cef-e620-44a7-9e3d-c5867b8fa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238b90-e3db-4d51-82dc-82d7093d86c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89DA03-F4C4-4A63-A3E1-6F1482DE8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2d9cef-e620-44a7-9e3d-c5867b8fa7c9"/>
    <ds:schemaRef ds:uri="90238b90-e3db-4d51-82dc-82d7093d86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93F0C1-4964-4044-86A5-059CC492B362}">
  <ds:schemaRefs>
    <ds:schemaRef ds:uri="http://schemas.openxmlformats.org/officeDocument/2006/bibliography"/>
  </ds:schemaRefs>
</ds:datastoreItem>
</file>

<file path=customXml/itemProps3.xml><?xml version="1.0" encoding="utf-8"?>
<ds:datastoreItem xmlns:ds="http://schemas.openxmlformats.org/officeDocument/2006/customXml" ds:itemID="{F95CAFD2-7032-48D8-BC85-319CC8F4F89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B9F2BB4-F932-4655-94F6-9B4920424F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27</Pages>
  <Words>28150</Words>
  <Characters>160460</Characters>
  <Application>Microsoft Office Word</Application>
  <DocSecurity>0</DocSecurity>
  <Lines>1337</Lines>
  <Paragraphs>376</Paragraphs>
  <ScaleCrop>false</ScaleCrop>
  <HeadingPairs>
    <vt:vector size="2" baseType="variant">
      <vt:variant>
        <vt:lpstr>Title</vt:lpstr>
      </vt:variant>
      <vt:variant>
        <vt:i4>1</vt:i4>
      </vt:variant>
    </vt:vector>
  </HeadingPairs>
  <TitlesOfParts>
    <vt:vector size="1" baseType="lpstr">
      <vt:lpstr/>
    </vt:vector>
  </TitlesOfParts>
  <Company>Robert Gordon University</Company>
  <LinksUpToDate>false</LinksUpToDate>
  <CharactersWithSpaces>188234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Lyndsay Alexander (shs)</dc:creator>
  <cp:keywords/>
  <dc:description/>
  <cp:lastModifiedBy>Joanna Shim (shs)</cp:lastModifiedBy>
  <cp:revision>16</cp:revision>
  <dcterms:created xsi:type="dcterms:W3CDTF">2021-11-24T21:06:00Z</dcterms:created>
  <dcterms:modified xsi:type="dcterms:W3CDTF">2021-11-25T13:01:00Z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0x0101002273A169E7F07D4C81C6389C2E8722C6</vt:lpwstr>
  </property>
  <property fmtid="{D5CDD505-2E9C-101B-9397-08002B2CF9AE}" pid="3" name="ZOTERO_PREF_1">
    <vt:lpwstr>&lt;data data-version="3" zotero-version="5.0.96.2"&gt;&lt;session id="vN3TWuyE"/&gt;&lt;style id="http://www.zotero.org/styles/british-journal-of-sports-medicine" hasBibliography="1" bibliographyStyleHasBeenSet="1"/&gt;&lt;prefs&gt;&lt;pref name="fieldType" value="Field"/&gt;&lt;/prefs&gt;</vt:lpwstr>
  </property>
  <property fmtid="{D5CDD505-2E9C-101B-9397-08002B2CF9AE}" pid="4" name="ZOTERO_PREF_2">
    <vt:lpwstr>&lt;/data&gt;</vt:lpwstr>
  </property>
</Properties>
</file>